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440"/>
        <w:tblW w:w="15417" w:type="dxa"/>
        <w:tblLook w:val="04A0" w:firstRow="1" w:lastRow="0" w:firstColumn="1" w:lastColumn="0" w:noHBand="0" w:noVBand="1"/>
      </w:tblPr>
      <w:tblGrid>
        <w:gridCol w:w="720"/>
        <w:gridCol w:w="3641"/>
        <w:gridCol w:w="11056"/>
      </w:tblGrid>
      <w:tr w:rsidR="00A12DC8" w:rsidRPr="00465D1D" w:rsidTr="00D3253C">
        <w:trPr>
          <w:trHeight w:val="315"/>
        </w:trPr>
        <w:tc>
          <w:tcPr>
            <w:tcW w:w="720" w:type="dxa"/>
            <w:tcBorders>
              <w:top w:val="nil"/>
              <w:left w:val="nil"/>
              <w:bottom w:val="nil"/>
              <w:right w:val="nil"/>
            </w:tcBorders>
            <w:shd w:val="clear" w:color="auto" w:fill="auto"/>
            <w:noWrap/>
            <w:vAlign w:val="center"/>
            <w:hideMark/>
          </w:tcPr>
          <w:p w:rsidR="00A12DC8" w:rsidRPr="001A2B9E" w:rsidRDefault="00A12DC8" w:rsidP="006F4E05">
            <w:pPr>
              <w:spacing w:after="0" w:line="240" w:lineRule="auto"/>
              <w:jc w:val="center"/>
              <w:rPr>
                <w:rFonts w:ascii="Times New Roman" w:eastAsia="Times New Roman" w:hAnsi="Times New Roman" w:cs="Times New Roman"/>
                <w:i/>
                <w:iCs/>
                <w:sz w:val="26"/>
                <w:szCs w:val="26"/>
              </w:rPr>
            </w:pPr>
            <w:bookmarkStart w:id="0" w:name="_GoBack"/>
            <w:bookmarkEnd w:id="0"/>
          </w:p>
        </w:tc>
        <w:tc>
          <w:tcPr>
            <w:tcW w:w="3641" w:type="dxa"/>
            <w:tcBorders>
              <w:top w:val="nil"/>
              <w:left w:val="nil"/>
              <w:bottom w:val="nil"/>
              <w:right w:val="nil"/>
            </w:tcBorders>
            <w:shd w:val="clear" w:color="auto" w:fill="auto"/>
            <w:vAlign w:val="center"/>
            <w:hideMark/>
          </w:tcPr>
          <w:p w:rsidR="00A12DC8" w:rsidRPr="001A2B9E" w:rsidRDefault="00A12DC8" w:rsidP="006F4E05">
            <w:pPr>
              <w:spacing w:after="0" w:line="240" w:lineRule="auto"/>
              <w:rPr>
                <w:rFonts w:ascii="Times New Roman" w:eastAsia="Times New Roman" w:hAnsi="Times New Roman" w:cs="Times New Roman"/>
                <w:sz w:val="26"/>
                <w:szCs w:val="26"/>
              </w:rPr>
            </w:pPr>
          </w:p>
        </w:tc>
        <w:tc>
          <w:tcPr>
            <w:tcW w:w="11056" w:type="dxa"/>
            <w:tcBorders>
              <w:top w:val="nil"/>
              <w:left w:val="nil"/>
              <w:bottom w:val="nil"/>
              <w:right w:val="nil"/>
            </w:tcBorders>
            <w:shd w:val="clear" w:color="auto" w:fill="auto"/>
            <w:noWrap/>
            <w:vAlign w:val="center"/>
            <w:hideMark/>
          </w:tcPr>
          <w:p w:rsidR="00A12DC8" w:rsidRDefault="00A12DC8" w:rsidP="006F4E05">
            <w:pPr>
              <w:spacing w:after="0" w:line="240" w:lineRule="auto"/>
              <w:rPr>
                <w:rFonts w:ascii="Times New Roman" w:eastAsia="Times New Roman" w:hAnsi="Times New Roman" w:cs="Times New Roman"/>
                <w:b/>
                <w:bCs/>
                <w:sz w:val="26"/>
                <w:szCs w:val="26"/>
              </w:rPr>
            </w:pPr>
          </w:p>
          <w:p w:rsidR="00A12DC8" w:rsidRPr="00465D1D" w:rsidRDefault="00A12DC8" w:rsidP="006F4E05">
            <w:pPr>
              <w:spacing w:after="0" w:line="240" w:lineRule="auto"/>
              <w:rPr>
                <w:rFonts w:ascii="Times New Roman" w:eastAsia="Times New Roman" w:hAnsi="Times New Roman" w:cs="Times New Roman"/>
                <w:b/>
                <w:bCs/>
                <w:sz w:val="26"/>
                <w:szCs w:val="26"/>
              </w:rPr>
            </w:pPr>
            <w:r w:rsidRPr="00465D1D">
              <w:rPr>
                <w:rFonts w:ascii="Times New Roman" w:eastAsia="Times New Roman" w:hAnsi="Times New Roman" w:cs="Times New Roman"/>
                <w:b/>
                <w:bCs/>
                <w:sz w:val="26"/>
                <w:szCs w:val="26"/>
              </w:rPr>
              <w:t>BỘ HỎI ĐÁP THÔNG TIN DỰ ÁN VƯỜN VUA RESORT &amp; VILLAS</w:t>
            </w:r>
          </w:p>
          <w:p w:rsidR="00A12DC8" w:rsidRPr="00465D1D" w:rsidRDefault="00A12DC8" w:rsidP="006F4E05">
            <w:pPr>
              <w:spacing w:after="0" w:line="240" w:lineRule="auto"/>
              <w:rPr>
                <w:rFonts w:ascii="Times New Roman" w:eastAsia="Times New Roman" w:hAnsi="Times New Roman" w:cs="Times New Roman"/>
                <w:sz w:val="26"/>
                <w:szCs w:val="26"/>
              </w:rPr>
            </w:pPr>
          </w:p>
        </w:tc>
      </w:tr>
      <w:tr w:rsidR="00A12DC8" w:rsidRPr="00465D1D" w:rsidTr="00D3253C">
        <w:trPr>
          <w:trHeight w:val="420"/>
        </w:trPr>
        <w:tc>
          <w:tcPr>
            <w:tcW w:w="720" w:type="dxa"/>
            <w:tcBorders>
              <w:top w:val="single" w:sz="4" w:space="0" w:color="000000"/>
              <w:left w:val="single" w:sz="4" w:space="0" w:color="000000"/>
              <w:bottom w:val="single" w:sz="4" w:space="0" w:color="auto"/>
              <w:right w:val="single" w:sz="4" w:space="0" w:color="000000"/>
            </w:tcBorders>
            <w:shd w:val="clear" w:color="4BACC6" w:fill="4BACC6"/>
            <w:vAlign w:val="center"/>
            <w:hideMark/>
          </w:tcPr>
          <w:p w:rsidR="00A12DC8" w:rsidRPr="00465D1D" w:rsidRDefault="00A12DC8" w:rsidP="006F4E05">
            <w:pPr>
              <w:spacing w:after="0" w:line="240" w:lineRule="auto"/>
              <w:jc w:val="center"/>
              <w:rPr>
                <w:rFonts w:ascii="Times New Roman" w:eastAsia="Times New Roman" w:hAnsi="Times New Roman" w:cs="Times New Roman"/>
                <w:b/>
                <w:bCs/>
                <w:sz w:val="26"/>
                <w:szCs w:val="26"/>
              </w:rPr>
            </w:pPr>
            <w:r w:rsidRPr="00465D1D">
              <w:rPr>
                <w:rFonts w:ascii="Times New Roman" w:eastAsia="Times New Roman" w:hAnsi="Times New Roman" w:cs="Times New Roman"/>
                <w:b/>
                <w:bCs/>
                <w:sz w:val="26"/>
                <w:szCs w:val="26"/>
              </w:rPr>
              <w:t>STT</w:t>
            </w:r>
          </w:p>
        </w:tc>
        <w:tc>
          <w:tcPr>
            <w:tcW w:w="3641" w:type="dxa"/>
            <w:tcBorders>
              <w:top w:val="single" w:sz="4" w:space="0" w:color="000000"/>
              <w:left w:val="single" w:sz="4" w:space="0" w:color="000000"/>
              <w:bottom w:val="single" w:sz="4" w:space="0" w:color="auto"/>
              <w:right w:val="single" w:sz="4" w:space="0" w:color="000000"/>
            </w:tcBorders>
            <w:shd w:val="clear" w:color="4BACC6" w:fill="4BACC6"/>
            <w:vAlign w:val="center"/>
            <w:hideMark/>
          </w:tcPr>
          <w:p w:rsidR="00A12DC8" w:rsidRPr="00465D1D" w:rsidRDefault="00A12DC8" w:rsidP="006F4E05">
            <w:pPr>
              <w:spacing w:after="0" w:line="240" w:lineRule="auto"/>
              <w:jc w:val="center"/>
              <w:rPr>
                <w:rFonts w:ascii="Times New Roman" w:eastAsia="Times New Roman" w:hAnsi="Times New Roman" w:cs="Times New Roman"/>
                <w:b/>
                <w:bCs/>
                <w:sz w:val="26"/>
                <w:szCs w:val="26"/>
              </w:rPr>
            </w:pPr>
            <w:r w:rsidRPr="00465D1D">
              <w:rPr>
                <w:rFonts w:ascii="Times New Roman" w:eastAsia="Times New Roman" w:hAnsi="Times New Roman" w:cs="Times New Roman"/>
                <w:b/>
                <w:bCs/>
                <w:sz w:val="26"/>
                <w:szCs w:val="26"/>
              </w:rPr>
              <w:t>CÂU HỎI</w:t>
            </w:r>
          </w:p>
        </w:tc>
        <w:tc>
          <w:tcPr>
            <w:tcW w:w="11056" w:type="dxa"/>
            <w:tcBorders>
              <w:top w:val="single" w:sz="4" w:space="0" w:color="000000"/>
              <w:left w:val="nil"/>
              <w:bottom w:val="single" w:sz="4" w:space="0" w:color="auto"/>
              <w:right w:val="single" w:sz="4" w:space="0" w:color="000000"/>
            </w:tcBorders>
            <w:shd w:val="clear" w:color="000000" w:fill="FF0000"/>
            <w:vAlign w:val="center"/>
            <w:hideMark/>
          </w:tcPr>
          <w:p w:rsidR="00A12DC8" w:rsidRPr="00465D1D" w:rsidRDefault="00A12DC8" w:rsidP="006F4E05">
            <w:pPr>
              <w:spacing w:after="0" w:line="240" w:lineRule="auto"/>
              <w:jc w:val="center"/>
              <w:rPr>
                <w:rFonts w:ascii="Times New Roman" w:eastAsia="Times New Roman" w:hAnsi="Times New Roman" w:cs="Times New Roman"/>
                <w:b/>
                <w:bCs/>
                <w:sz w:val="26"/>
                <w:szCs w:val="26"/>
              </w:rPr>
            </w:pPr>
            <w:r w:rsidRPr="00465D1D">
              <w:rPr>
                <w:rFonts w:ascii="Times New Roman" w:eastAsia="Times New Roman" w:hAnsi="Times New Roman" w:cs="Times New Roman"/>
                <w:b/>
                <w:bCs/>
                <w:sz w:val="26"/>
                <w:szCs w:val="26"/>
              </w:rPr>
              <w:t>GIẢI ĐÁP CỦA CHỦ ĐẦU TƯ</w:t>
            </w:r>
          </w:p>
        </w:tc>
      </w:tr>
      <w:tr w:rsidR="00A12DC8" w:rsidRPr="00465D1D" w:rsidTr="00D3253C">
        <w:trPr>
          <w:trHeight w:val="4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b/>
                <w:color w:val="000000"/>
                <w:sz w:val="26"/>
                <w:szCs w:val="26"/>
              </w:rPr>
            </w:pPr>
            <w:r w:rsidRPr="00465D1D">
              <w:rPr>
                <w:rFonts w:ascii="Times New Roman" w:eastAsia="Times New Roman" w:hAnsi="Times New Roman" w:cs="Times New Roman"/>
                <w:b/>
                <w:color w:val="000000"/>
                <w:sz w:val="26"/>
                <w:szCs w:val="26"/>
              </w:rPr>
              <w:t>I</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b/>
                <w:color w:val="000000"/>
                <w:sz w:val="26"/>
                <w:szCs w:val="26"/>
              </w:rPr>
            </w:pPr>
            <w:r w:rsidRPr="00465D1D">
              <w:rPr>
                <w:rFonts w:ascii="Times New Roman" w:eastAsia="Times New Roman" w:hAnsi="Times New Roman" w:cs="Times New Roman"/>
                <w:b/>
                <w:color w:val="000000"/>
                <w:sz w:val="26"/>
                <w:szCs w:val="26"/>
              </w:rPr>
              <w:t>CHỦ ĐẦU TƯ:</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p>
        </w:tc>
      </w:tr>
      <w:tr w:rsidR="00A12DC8" w:rsidRPr="00465D1D" w:rsidTr="00D3253C">
        <w:trPr>
          <w:trHeight w:val="4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1</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Mô tả chi tiết về Chủ đầu tư</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Tên Công ty: Công ty Cổ phần Đầu tư Thăng Long Phú Thọ (Công ty con của Công ty Cổ phần Tập đoàn Đầu tư Thăng Long)</w:t>
            </w:r>
            <w:r w:rsidRPr="00465D1D">
              <w:rPr>
                <w:rFonts w:ascii="Times New Roman" w:eastAsia="Times New Roman" w:hAnsi="Times New Roman" w:cs="Times New Roman"/>
                <w:color w:val="000000"/>
                <w:sz w:val="26"/>
                <w:szCs w:val="26"/>
              </w:rPr>
              <w:br/>
              <w:t xml:space="preserve">Địa chỉ: Khu Vườn Vua, xã Đồng Trung , huyện Thanh Thủy, tỉnh Phú Thọ  </w:t>
            </w:r>
            <w:r w:rsidRPr="00465D1D">
              <w:rPr>
                <w:rFonts w:ascii="Times New Roman" w:eastAsia="Times New Roman" w:hAnsi="Times New Roman" w:cs="Times New Roman"/>
                <w:color w:val="000000"/>
                <w:sz w:val="26"/>
                <w:szCs w:val="26"/>
              </w:rPr>
              <w:br/>
              <w:t>Điện thoại: 0210.6538888 / Fax : 0210.3878464</w:t>
            </w:r>
            <w:r w:rsidRPr="00465D1D">
              <w:rPr>
                <w:rFonts w:ascii="Times New Roman" w:eastAsia="Times New Roman" w:hAnsi="Times New Roman" w:cs="Times New Roman"/>
                <w:color w:val="000000"/>
                <w:sz w:val="26"/>
                <w:szCs w:val="26"/>
              </w:rPr>
              <w:br/>
              <w:t>Website:www: vuonvua.vn</w:t>
            </w:r>
            <w:r w:rsidRPr="00465D1D">
              <w:rPr>
                <w:rFonts w:ascii="Times New Roman" w:eastAsia="Times New Roman" w:hAnsi="Times New Roman" w:cs="Times New Roman"/>
                <w:color w:val="000000"/>
                <w:sz w:val="26"/>
                <w:szCs w:val="26"/>
              </w:rPr>
              <w:br/>
              <w:t>Mã số thuế:2600840484 do Sở kế hoạch Đầu tư tỉnh Phú Thọ cấp lần đầu ngày 28/7/2011, thay đổi lần 2 ngày 5/6/2018.</w:t>
            </w:r>
            <w:r w:rsidRPr="00465D1D">
              <w:rPr>
                <w:rFonts w:ascii="Times New Roman" w:eastAsia="Times New Roman" w:hAnsi="Times New Roman" w:cs="Times New Roman"/>
                <w:color w:val="000000"/>
                <w:sz w:val="26"/>
                <w:szCs w:val="26"/>
              </w:rPr>
              <w:br/>
              <w:t>Vốn điều lệ: 250.000.000.000 đồng (Hai trăm năm mươi tỷ đồng).</w:t>
            </w:r>
            <w:r w:rsidRPr="00465D1D">
              <w:rPr>
                <w:rFonts w:ascii="Times New Roman" w:eastAsia="Times New Roman" w:hAnsi="Times New Roman" w:cs="Times New Roman"/>
                <w:color w:val="000000"/>
                <w:sz w:val="26"/>
                <w:szCs w:val="26"/>
              </w:rPr>
              <w:br/>
              <w:t>Ngành nghề kinh doanh: Đầu tư kinh doanh bất động sản, đầu tư xây dựng, dịch vụ du lịch, lưu trú, nông nghiệp, khai thác khoáng sản</w:t>
            </w:r>
          </w:p>
        </w:tc>
      </w:tr>
      <w:tr w:rsidR="00A12DC8" w:rsidRPr="00465D1D" w:rsidTr="00D3253C">
        <w:trPr>
          <w:trHeight w:val="4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b/>
                <w:bCs/>
                <w:color w:val="000000"/>
                <w:sz w:val="26"/>
                <w:szCs w:val="26"/>
              </w:rPr>
            </w:pPr>
            <w:r w:rsidRPr="00465D1D">
              <w:rPr>
                <w:rFonts w:ascii="Times New Roman" w:eastAsia="Times New Roman" w:hAnsi="Times New Roman" w:cs="Times New Roman"/>
                <w:b/>
                <w:bCs/>
                <w:color w:val="000000"/>
                <w:sz w:val="26"/>
                <w:szCs w:val="26"/>
              </w:rPr>
              <w:t>II</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b/>
                <w:bCs/>
                <w:color w:val="000000"/>
                <w:sz w:val="26"/>
                <w:szCs w:val="26"/>
              </w:rPr>
            </w:pPr>
            <w:r w:rsidRPr="00465D1D">
              <w:rPr>
                <w:rFonts w:ascii="Times New Roman" w:eastAsia="Times New Roman" w:hAnsi="Times New Roman" w:cs="Times New Roman"/>
                <w:b/>
                <w:bCs/>
                <w:color w:val="000000"/>
                <w:sz w:val="26"/>
                <w:szCs w:val="26"/>
              </w:rPr>
              <w:t>DỰ ÁN:</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jc w:val="center"/>
              <w:rPr>
                <w:rFonts w:ascii="Times New Roman" w:eastAsia="Times New Roman" w:hAnsi="Times New Roman" w:cs="Times New Roman"/>
                <w:b/>
                <w:bCs/>
                <w:color w:val="000000"/>
                <w:sz w:val="26"/>
                <w:szCs w:val="26"/>
              </w:rPr>
            </w:pPr>
            <w:r w:rsidRPr="00465D1D">
              <w:rPr>
                <w:rFonts w:ascii="Times New Roman" w:eastAsia="Times New Roman" w:hAnsi="Times New Roman" w:cs="Times New Roman"/>
                <w:b/>
                <w:bCs/>
                <w:color w:val="000000"/>
                <w:sz w:val="26"/>
                <w:szCs w:val="26"/>
              </w:rPr>
              <w:t> </w:t>
            </w:r>
          </w:p>
        </w:tc>
      </w:tr>
      <w:tr w:rsidR="00A12DC8" w:rsidRPr="00465D1D" w:rsidTr="00D3253C">
        <w:trPr>
          <w:trHeight w:val="4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2</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Tên Dự án?</w:t>
            </w:r>
            <w:r w:rsidRPr="00465D1D">
              <w:rPr>
                <w:rFonts w:ascii="Times New Roman" w:eastAsia="Times New Roman" w:hAnsi="Times New Roman" w:cs="Times New Roman"/>
                <w:color w:val="000000"/>
                <w:sz w:val="26"/>
                <w:szCs w:val="26"/>
              </w:rPr>
              <w:br/>
              <w:t>Ý nghĩa của tên và Slogan dự án</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 xml:space="preserve">Tên dự án: Khu du lịch biệt thự sinh thái nghỉ dưỡng Vườn Vua (Vườn Vua Resort &amp; Villas) </w:t>
            </w:r>
            <w:r w:rsidRPr="00465D1D">
              <w:rPr>
                <w:rFonts w:ascii="Times New Roman" w:eastAsia="Times New Roman" w:hAnsi="Times New Roman" w:cs="Times New Roman"/>
                <w:color w:val="000000"/>
                <w:sz w:val="26"/>
                <w:szCs w:val="26"/>
              </w:rPr>
              <w:br/>
              <w:t>Ý nghĩa tên và Slogan : "Nơi thiên nhiên tái tạo giá trị cuộc sống" và "Ngôi nhà mơ ước đáng sống nhất"</w:t>
            </w:r>
          </w:p>
        </w:tc>
      </w:tr>
      <w:tr w:rsidR="00A12DC8" w:rsidRPr="00465D1D" w:rsidTr="00D3253C">
        <w:trPr>
          <w:trHeight w:val="4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3</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Vị trí dự án ở đâu?</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b/>
                <w:bCs/>
                <w:color w:val="000000"/>
                <w:sz w:val="26"/>
                <w:szCs w:val="26"/>
              </w:rPr>
              <w:t>Địa chỉ dự án:</w:t>
            </w:r>
            <w:r w:rsidRPr="00465D1D">
              <w:rPr>
                <w:rFonts w:ascii="Times New Roman" w:eastAsia="Times New Roman" w:hAnsi="Times New Roman" w:cs="Times New Roman"/>
                <w:color w:val="000000"/>
                <w:sz w:val="26"/>
                <w:szCs w:val="26"/>
              </w:rPr>
              <w:t xml:space="preserve"> Vườn Vua, xã Đồng Trung, huyện Thanh Thủy, tỉnh Phú Thọ</w:t>
            </w:r>
            <w:r w:rsidRPr="00465D1D">
              <w:rPr>
                <w:rFonts w:ascii="Times New Roman" w:eastAsia="Times New Roman" w:hAnsi="Times New Roman" w:cs="Times New Roman"/>
                <w:color w:val="000000"/>
                <w:sz w:val="26"/>
                <w:szCs w:val="26"/>
              </w:rPr>
              <w:br/>
            </w:r>
            <w:r w:rsidRPr="00465D1D">
              <w:rPr>
                <w:rFonts w:ascii="Times New Roman" w:eastAsia="Times New Roman" w:hAnsi="Times New Roman" w:cs="Times New Roman"/>
                <w:b/>
                <w:bCs/>
                <w:color w:val="000000"/>
                <w:sz w:val="26"/>
                <w:szCs w:val="26"/>
              </w:rPr>
              <w:t xml:space="preserve">Vị trí dự án: </w:t>
            </w:r>
            <w:r w:rsidRPr="00465D1D">
              <w:rPr>
                <w:rFonts w:ascii="Times New Roman" w:eastAsia="Times New Roman" w:hAnsi="Times New Roman" w:cs="Times New Roman"/>
                <w:color w:val="000000"/>
                <w:sz w:val="26"/>
                <w:szCs w:val="26"/>
              </w:rPr>
              <w:t>Dự án có quy mô hơn 82,8 ha, nằm ở vị trí đắc địa, là món quà của thiên nhiên, một đặc ân của tạo hóa và một giá trị truyền lại của lịch sử tổ tiên với những giá trị to lớn hiếm nơi nào có được: Vùng đất vượng khí có tên “ Vườn Vua” từ xa xưa. Tương truyền Đức Hùng Vương chọn nơi đây làm nơi xây vườn Thượng uyển; Thung lũng xanh hút tài lộc, được bao bọc bởi dòng sông Đà và dựa vào đỉnh Tản Viên ban linh thiêng với lợi thế “ Tọa sơn hướng thủy”; Nằm giữa một đầm sen tự nhiên lâu đời lớn hàng đầu Việt Nam, nơi lưu giữ và bảo tồn Quốc hoa của Dân tộc; Sở hữu nguồn khoáng nóng Thanh Thủy quý giá tốt hàng đầu Đông Nam Á, có tính năng phục hồi, chăm sóc sức khỏe đặc biệt; Kiến trúc đặc sắc tạo nên một không gian sống đa sắc màu văn hóa, vừa hài hòa nghệ thuật vừa tiện nghi đẳng cấp và hiệu quả sử dụng khai thác kinh doanh tối ưu</w:t>
            </w:r>
            <w:r w:rsidRPr="00465D1D">
              <w:rPr>
                <w:rFonts w:ascii="Times New Roman" w:eastAsia="Times New Roman" w:hAnsi="Times New Roman" w:cs="Times New Roman"/>
                <w:color w:val="000000"/>
                <w:sz w:val="26"/>
                <w:szCs w:val="26"/>
              </w:rPr>
              <w:br/>
            </w:r>
            <w:r w:rsidRPr="00465D1D">
              <w:rPr>
                <w:rFonts w:ascii="Times New Roman" w:eastAsia="Times New Roman" w:hAnsi="Times New Roman" w:cs="Times New Roman"/>
                <w:b/>
                <w:bCs/>
                <w:color w:val="000000"/>
                <w:sz w:val="26"/>
                <w:szCs w:val="26"/>
              </w:rPr>
              <w:t>Vị trí dự án</w:t>
            </w:r>
            <w:r w:rsidRPr="00465D1D">
              <w:rPr>
                <w:rFonts w:ascii="Times New Roman" w:eastAsia="Times New Roman" w:hAnsi="Times New Roman" w:cs="Times New Roman"/>
                <w:color w:val="000000"/>
                <w:sz w:val="26"/>
                <w:szCs w:val="26"/>
              </w:rPr>
              <w:t xml:space="preserve"> dễ dàng kết nối giao thông với Thủ Đô Hà Nội và các tỉnh lân cận với 60 phút di chuyển từ HN, 35 phút từ TP Việt Trì.</w:t>
            </w:r>
          </w:p>
        </w:tc>
      </w:tr>
      <w:tr w:rsidR="00A12DC8" w:rsidRPr="00465D1D" w:rsidTr="00D3253C">
        <w:trPr>
          <w:trHeight w:val="4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4</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Quy mô dự án, tổng mức đầu tư dự án được phê duyệt</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jc w:val="both"/>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Tổng diện tích: 821.976m2</w:t>
            </w:r>
          </w:p>
          <w:p w:rsidR="00A12DC8" w:rsidRPr="00465D1D" w:rsidRDefault="00A12DC8" w:rsidP="006F4E05">
            <w:pPr>
              <w:spacing w:after="0" w:line="240" w:lineRule="auto"/>
              <w:jc w:val="both"/>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Đất thương mai dịch vụ: 407.596,7m2</w:t>
            </w:r>
          </w:p>
          <w:p w:rsidR="00A12DC8" w:rsidRPr="00465D1D" w:rsidRDefault="00A12DC8" w:rsidP="006F4E05">
            <w:pPr>
              <w:spacing w:after="0" w:line="240" w:lineRule="auto"/>
              <w:jc w:val="both"/>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Đất mặt nước: 421.379,3m2</w:t>
            </w:r>
          </w:p>
          <w:p w:rsidR="00554E1D" w:rsidRPr="00465D1D" w:rsidRDefault="00554E1D" w:rsidP="00554E1D">
            <w:pPr>
              <w:widowControl w:val="0"/>
              <w:tabs>
                <w:tab w:val="left" w:pos="1701"/>
              </w:tabs>
              <w:spacing w:before="40" w:after="40" w:line="288" w:lineRule="auto"/>
              <w:jc w:val="both"/>
              <w:rPr>
                <w:rFonts w:ascii="Times New Roman" w:eastAsia="Times New Roman" w:hAnsi="Times New Roman" w:cs="Times New Roman"/>
                <w:color w:val="000000" w:themeColor="text1"/>
                <w:sz w:val="26"/>
                <w:szCs w:val="26"/>
              </w:rPr>
            </w:pPr>
            <w:r w:rsidRPr="00465D1D">
              <w:rPr>
                <w:rFonts w:ascii="Times New Roman" w:eastAsia="Times New Roman" w:hAnsi="Times New Roman" w:cs="Times New Roman"/>
                <w:color w:val="000000" w:themeColor="text1"/>
                <w:sz w:val="26"/>
                <w:szCs w:val="26"/>
              </w:rPr>
              <w:t xml:space="preserve">Mật độ xây dựng trung bình: </w:t>
            </w:r>
            <w:r w:rsidRPr="00465D1D">
              <w:rPr>
                <w:rFonts w:ascii="Times New Roman" w:hAnsi="Times New Roman"/>
                <w:bCs/>
                <w:color w:val="000000" w:themeColor="text1"/>
                <w:spacing w:val="-4"/>
                <w:sz w:val="26"/>
                <w:szCs w:val="26"/>
                <w:lang w:val="vi-VN"/>
              </w:rPr>
              <w:t xml:space="preserve">21,45% </w:t>
            </w:r>
            <w:r w:rsidRPr="00465D1D">
              <w:rPr>
                <w:rFonts w:ascii="Times New Roman" w:eastAsia="Times New Roman" w:hAnsi="Times New Roman" w:cs="Times New Roman"/>
                <w:color w:val="000000" w:themeColor="text1"/>
                <w:sz w:val="26"/>
                <w:szCs w:val="26"/>
              </w:rPr>
              <w:t xml:space="preserve">(trên toàn khu đất); khoảng 22% (trên diện tích nghiên cứu xây </w:t>
            </w:r>
            <w:r w:rsidRPr="00465D1D">
              <w:rPr>
                <w:rFonts w:ascii="Times New Roman" w:eastAsia="Times New Roman" w:hAnsi="Times New Roman" w:cs="Times New Roman"/>
                <w:color w:val="000000" w:themeColor="text1"/>
                <w:sz w:val="26"/>
                <w:szCs w:val="26"/>
              </w:rPr>
              <w:lastRenderedPageBreak/>
              <w:t>dựng).</w:t>
            </w:r>
          </w:p>
          <w:p w:rsidR="00A12DC8" w:rsidRPr="00465D1D" w:rsidRDefault="00A12DC8" w:rsidP="006F4E05">
            <w:pPr>
              <w:spacing w:after="0" w:line="240" w:lineRule="auto"/>
              <w:jc w:val="both"/>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Tổng vốn đầu tư: 1.452,2 tỷ</w:t>
            </w:r>
          </w:p>
        </w:tc>
      </w:tr>
      <w:tr w:rsidR="00A12DC8" w:rsidRPr="00465D1D" w:rsidTr="00D3253C">
        <w:trPr>
          <w:trHeight w:val="4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lastRenderedPageBreak/>
              <w:t>5</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Xung quanh dự án có những địa điểm du lịch, tham quan nào?</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Hiện tại dự án gần một số các điểm tham quan du lịch như Đảo Ngọc Xanh, Thanh Lâm Resort, Ao Vua, Khoang Xanh….., tuy nhiên dự án Vườn Vua Resort &amp; Villas là một dự án có quy mô lớn với hệ sinh thái đa dạng, là điểm đến thu hút nhất tại Tỉnh Phú Thọ nói riêng cũng như khu vực phía Bắc nói chung.</w:t>
            </w:r>
          </w:p>
        </w:tc>
      </w:tr>
      <w:tr w:rsidR="00A12DC8" w:rsidRPr="00465D1D" w:rsidTr="00D3253C">
        <w:trPr>
          <w:trHeight w:val="4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6</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Dự án gồm những sản phẩm nào?</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Thể hiện tại catologue và thông tin nội thất sản phẩm</w:t>
            </w:r>
          </w:p>
        </w:tc>
      </w:tr>
      <w:tr w:rsidR="00A12DC8" w:rsidRPr="00465D1D" w:rsidTr="00D3253C">
        <w:trPr>
          <w:trHeight w:val="4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7</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Dự án có những tiện ích gì?</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Vườn Vua Resort &amp; Villas  như một thành phố sinh thái thu nhỏ với một không gian xanh và tinh khôi đã được đầu tư đồng bộ tất cả các hạ tầng dịch vụ cao cấp như:  Các khu Biệt thự nghỉ dưỡng phong cách ấn tượng đa sắc màu: Phố Tây, Phố Cổ, Phú Ông, Chị Dậu, Biệt thự Châu Âu, Đồng quê hay quần thể biệt thự "Tứ Liên" (Hồng Liên, Thanh Liên, Bích Liên, Kim Liên),...Trung tâm Hội nghị sức chứa 1000 người, Hệ thống Nhà hàng, Café &amp; bar, Karaoke, Spa Massage &amp; Gym, Phố ẩm thực và mua sắm, Trung tâm thương mại và chợ quê, Khu vui chơi Sân thể thao, trượt cỏ, câu cá, du thuyền hồ sen... và hàng trăm bể bơi lớn nhỏ.</w:t>
            </w:r>
          </w:p>
        </w:tc>
      </w:tr>
      <w:tr w:rsidR="00A12DC8" w:rsidRPr="00465D1D" w:rsidTr="00D3253C">
        <w:trPr>
          <w:trHeight w:val="4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8</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Diện tích của các bể bơi, đối tượng sử dụng bể bơi chung…</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Gồm 02 bể bơi lớn ngoài trời với thể tích trung bình 500m3/bể</w:t>
            </w:r>
            <w:r w:rsidRPr="00465D1D">
              <w:rPr>
                <w:rFonts w:ascii="Times New Roman" w:eastAsia="Times New Roman" w:hAnsi="Times New Roman" w:cs="Times New Roman"/>
                <w:color w:val="000000"/>
                <w:sz w:val="26"/>
                <w:szCs w:val="26"/>
              </w:rPr>
              <w:br/>
              <w:t>02 Bể bơi khoáng nóng trong nhà thể tích trung bình 250m3/bể</w:t>
            </w:r>
            <w:r w:rsidRPr="00465D1D">
              <w:rPr>
                <w:rFonts w:ascii="Times New Roman" w:eastAsia="Times New Roman" w:hAnsi="Times New Roman" w:cs="Times New Roman"/>
                <w:color w:val="000000"/>
                <w:sz w:val="26"/>
                <w:szCs w:val="26"/>
              </w:rPr>
              <w:br/>
              <w:t>Và hàng trăm bể bơi 4 mùa tại các khu Biệt thự nghỉ dưỡng</w:t>
            </w:r>
          </w:p>
        </w:tc>
      </w:tr>
      <w:tr w:rsidR="00A12DC8" w:rsidRPr="00465D1D" w:rsidTr="00D3253C">
        <w:trPr>
          <w:trHeight w:val="4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9</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Nội thất bàn giao như thế nào? Tiêu chuẩn bàn giao</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Có danh sách cụ thể kèm theo từng mẫu nhà</w:t>
            </w:r>
          </w:p>
        </w:tc>
      </w:tr>
      <w:tr w:rsidR="00A12DC8" w:rsidRPr="00465D1D" w:rsidTr="00D3253C">
        <w:trPr>
          <w:trHeight w:val="4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10</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Mật độ xây dựng trung bình trên 01 Lô đất?</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554E1D" w:rsidRPr="00465D1D" w:rsidRDefault="00554E1D" w:rsidP="00554E1D">
            <w:pPr>
              <w:widowControl w:val="0"/>
              <w:tabs>
                <w:tab w:val="left" w:pos="1701"/>
              </w:tabs>
              <w:spacing w:before="40" w:after="40" w:line="288" w:lineRule="auto"/>
              <w:jc w:val="both"/>
              <w:rPr>
                <w:rFonts w:ascii="Times New Roman" w:eastAsia="Times New Roman" w:hAnsi="Times New Roman" w:cs="Times New Roman"/>
                <w:color w:val="000000" w:themeColor="text1"/>
                <w:sz w:val="26"/>
                <w:szCs w:val="26"/>
              </w:rPr>
            </w:pPr>
            <w:r w:rsidRPr="00465D1D">
              <w:rPr>
                <w:rFonts w:ascii="Times New Roman" w:eastAsia="Times New Roman" w:hAnsi="Times New Roman" w:cs="Times New Roman"/>
                <w:color w:val="000000" w:themeColor="text1"/>
                <w:sz w:val="26"/>
                <w:szCs w:val="26"/>
              </w:rPr>
              <w:t>Trung bình khoảng 22% (trên diện tích nghiên cứu xây dựng).</w:t>
            </w:r>
          </w:p>
          <w:p w:rsidR="00A12DC8" w:rsidRPr="00465D1D" w:rsidRDefault="00A12DC8" w:rsidP="006F4E05">
            <w:pPr>
              <w:spacing w:after="0" w:line="240" w:lineRule="auto"/>
              <w:jc w:val="center"/>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 </w:t>
            </w:r>
          </w:p>
        </w:tc>
      </w:tr>
      <w:tr w:rsidR="00A12DC8" w:rsidRPr="00465D1D" w:rsidTr="00D3253C">
        <w:trPr>
          <w:trHeight w:val="4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11</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Đơn vị thi công</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Công ty Cổ phần Đầu tư HDE Holdings</w:t>
            </w:r>
          </w:p>
        </w:tc>
      </w:tr>
      <w:tr w:rsidR="00A12DC8" w:rsidRPr="00465D1D" w:rsidTr="00D3253C">
        <w:trPr>
          <w:trHeight w:val="4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12</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Các tiện ích chung được sử dụng như thế nào?</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2DC8" w:rsidRPr="00465D1D" w:rsidRDefault="00A12DC8" w:rsidP="006F4E05">
            <w:pPr>
              <w:spacing w:after="0" w:line="240" w:lineRule="auto"/>
              <w:jc w:val="both"/>
              <w:rPr>
                <w:rFonts w:ascii="Times New Roman" w:eastAsia="Times New Roman" w:hAnsi="Times New Roman" w:cs="Times New Roman"/>
                <w:sz w:val="26"/>
                <w:szCs w:val="26"/>
              </w:rPr>
            </w:pPr>
            <w:r w:rsidRPr="00465D1D">
              <w:rPr>
                <w:rFonts w:ascii="Times New Roman" w:eastAsia="Times New Roman" w:hAnsi="Times New Roman" w:cs="Times New Roman"/>
                <w:sz w:val="26"/>
                <w:szCs w:val="26"/>
              </w:rPr>
              <w:t>Có tiện ích chung như bể bơi, khu vui chơi, phòng tập gym, nhà hàng: Sử dụng miễn phí bể bơi chung, công viên, cảnh quản, cây xanh, đường dạo, phòng tập gym; phải trả tiền đối với hoạt động vui chơi có tính phí, nhà hàng, spa,…</w:t>
            </w:r>
          </w:p>
        </w:tc>
      </w:tr>
      <w:tr w:rsidR="00A12DC8" w:rsidRPr="00465D1D" w:rsidTr="00D3253C">
        <w:trPr>
          <w:trHeight w:val="435"/>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13</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Hình thức sở hữu lô đất</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sz w:val="26"/>
                <w:szCs w:val="26"/>
              </w:rPr>
            </w:pPr>
            <w:r w:rsidRPr="00465D1D">
              <w:rPr>
                <w:rFonts w:ascii="Times New Roman" w:eastAsia="Times New Roman" w:hAnsi="Times New Roman" w:cs="Times New Roman"/>
                <w:sz w:val="26"/>
                <w:szCs w:val="26"/>
              </w:rPr>
              <w:t>Sở hữu biệt thự và quyền thuê đất theo thời hạn dự án</w:t>
            </w:r>
          </w:p>
        </w:tc>
      </w:tr>
      <w:tr w:rsidR="00A12DC8" w:rsidRPr="00465D1D" w:rsidTr="00D3253C">
        <w:trPr>
          <w:trHeight w:val="435"/>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14</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Thời gian sở hữu lô đất</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2DC8" w:rsidRPr="00465D1D" w:rsidRDefault="00A12DC8" w:rsidP="006F4E05">
            <w:pPr>
              <w:spacing w:after="0" w:line="240" w:lineRule="auto"/>
              <w:jc w:val="both"/>
              <w:rPr>
                <w:rFonts w:ascii="Times New Roman" w:eastAsia="Times New Roman" w:hAnsi="Times New Roman" w:cs="Times New Roman"/>
                <w:sz w:val="26"/>
                <w:szCs w:val="26"/>
              </w:rPr>
            </w:pPr>
            <w:r w:rsidRPr="00465D1D">
              <w:rPr>
                <w:rFonts w:ascii="Times New Roman" w:eastAsia="Times New Roman" w:hAnsi="Times New Roman" w:cs="Times New Roman"/>
                <w:sz w:val="26"/>
                <w:szCs w:val="26"/>
              </w:rPr>
              <w:t>42 năm đến 04/09/2062</w:t>
            </w:r>
          </w:p>
        </w:tc>
      </w:tr>
      <w:tr w:rsidR="00A12DC8" w:rsidRPr="00465D1D" w:rsidTr="00D3253C">
        <w:trPr>
          <w:trHeight w:val="75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b/>
                <w:bCs/>
                <w:color w:val="000000"/>
                <w:sz w:val="26"/>
                <w:szCs w:val="26"/>
              </w:rPr>
            </w:pPr>
            <w:r w:rsidRPr="00465D1D">
              <w:rPr>
                <w:rFonts w:ascii="Times New Roman" w:eastAsia="Times New Roman" w:hAnsi="Times New Roman" w:cs="Times New Roman"/>
                <w:b/>
                <w:bCs/>
                <w:color w:val="000000"/>
                <w:sz w:val="26"/>
                <w:szCs w:val="26"/>
              </w:rPr>
              <w:t>III</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C8" w:rsidRPr="00465D1D" w:rsidRDefault="009B705F" w:rsidP="006F4E05">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PHƯƠNG THỨC VẬN HÀNH KHAI THÁC/ </w:t>
            </w:r>
            <w:r w:rsidR="00A12DC8" w:rsidRPr="00465D1D">
              <w:rPr>
                <w:rFonts w:ascii="Times New Roman" w:eastAsia="Times New Roman" w:hAnsi="Times New Roman" w:cs="Times New Roman"/>
                <w:b/>
                <w:bCs/>
                <w:color w:val="000000"/>
                <w:sz w:val="26"/>
                <w:szCs w:val="26"/>
              </w:rPr>
              <w:t>CHIA SẺ LỢI NHUẬN:</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2DC8" w:rsidRPr="00465D1D" w:rsidRDefault="00A12DC8" w:rsidP="006F4E05">
            <w:pPr>
              <w:spacing w:after="0" w:line="240" w:lineRule="auto"/>
              <w:jc w:val="center"/>
              <w:rPr>
                <w:rFonts w:ascii="Times New Roman" w:eastAsia="Times New Roman" w:hAnsi="Times New Roman" w:cs="Times New Roman"/>
                <w:b/>
                <w:bCs/>
                <w:sz w:val="26"/>
                <w:szCs w:val="26"/>
              </w:rPr>
            </w:pPr>
            <w:r w:rsidRPr="00465D1D">
              <w:rPr>
                <w:rFonts w:ascii="Times New Roman" w:eastAsia="Times New Roman" w:hAnsi="Times New Roman" w:cs="Times New Roman"/>
                <w:b/>
                <w:bCs/>
                <w:sz w:val="26"/>
                <w:szCs w:val="26"/>
              </w:rPr>
              <w:t> </w:t>
            </w:r>
          </w:p>
        </w:tc>
      </w:tr>
      <w:tr w:rsidR="00A12DC8" w:rsidRPr="00465D1D" w:rsidTr="0043569A">
        <w:trPr>
          <w:trHeight w:hRule="exact" w:val="190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lastRenderedPageBreak/>
              <w:t>15</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C8" w:rsidRPr="00465D1D" w:rsidRDefault="0028312F" w:rsidP="000E77EA">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Phương thức </w:t>
            </w:r>
            <w:r w:rsidR="000E77EA">
              <w:rPr>
                <w:rFonts w:ascii="Times New Roman" w:eastAsia="Times New Roman" w:hAnsi="Times New Roman" w:cs="Times New Roman"/>
                <w:color w:val="000000"/>
                <w:sz w:val="26"/>
                <w:szCs w:val="26"/>
              </w:rPr>
              <w:t xml:space="preserve">vận hành khai thác </w:t>
            </w:r>
            <w:r>
              <w:rPr>
                <w:rFonts w:ascii="Times New Roman" w:eastAsia="Times New Roman" w:hAnsi="Times New Roman" w:cs="Times New Roman"/>
                <w:color w:val="000000"/>
                <w:sz w:val="26"/>
                <w:szCs w:val="26"/>
              </w:rPr>
              <w:t xml:space="preserve">như thế nào </w:t>
            </w:r>
            <w:r w:rsidR="00A12DC8" w:rsidRPr="00465D1D">
              <w:rPr>
                <w:rFonts w:ascii="Times New Roman" w:eastAsia="Times New Roman" w:hAnsi="Times New Roman" w:cs="Times New Roman"/>
                <w:color w:val="000000"/>
                <w:sz w:val="26"/>
                <w:szCs w:val="26"/>
              </w:rPr>
              <w:t>?</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sz w:val="26"/>
                <w:szCs w:val="26"/>
              </w:rPr>
            </w:pPr>
            <w:r w:rsidRPr="00465D1D">
              <w:rPr>
                <w:rFonts w:ascii="Times New Roman" w:eastAsia="Times New Roman" w:hAnsi="Times New Roman" w:cs="Times New Roman"/>
                <w:sz w:val="26"/>
                <w:szCs w:val="26"/>
              </w:rPr>
              <w:t xml:space="preserve">1. </w:t>
            </w:r>
            <w:r w:rsidR="002B6F88">
              <w:rPr>
                <w:rFonts w:ascii="Times New Roman" w:eastAsia="Times New Roman" w:hAnsi="Times New Roman" w:cs="Times New Roman"/>
                <w:sz w:val="26"/>
                <w:szCs w:val="26"/>
              </w:rPr>
              <w:t xml:space="preserve">Phương án 1: </w:t>
            </w:r>
            <w:r w:rsidR="00D82E05">
              <w:rPr>
                <w:rFonts w:ascii="Times New Roman" w:eastAsia="Times New Roman" w:hAnsi="Times New Roman" w:cs="Times New Roman"/>
                <w:sz w:val="26"/>
                <w:szCs w:val="26"/>
              </w:rPr>
              <w:t xml:space="preserve">Khách hàng có thể tự </w:t>
            </w:r>
            <w:r w:rsidR="00D903BE">
              <w:rPr>
                <w:rFonts w:ascii="Times New Roman" w:eastAsia="Times New Roman" w:hAnsi="Times New Roman" w:cs="Times New Roman"/>
                <w:sz w:val="26"/>
                <w:szCs w:val="26"/>
              </w:rPr>
              <w:t xml:space="preserve">khai thác </w:t>
            </w:r>
            <w:r w:rsidR="00D82E05">
              <w:rPr>
                <w:rFonts w:ascii="Times New Roman" w:eastAsia="Times New Roman" w:hAnsi="Times New Roman" w:cs="Times New Roman"/>
                <w:sz w:val="26"/>
                <w:szCs w:val="26"/>
              </w:rPr>
              <w:t xml:space="preserve">kinh doanh, theo phương án này thì phí dịch vụ là 15.000 đ/m2 đất/ tháng. </w:t>
            </w:r>
          </w:p>
          <w:p w:rsidR="00A12DC8" w:rsidRPr="00465D1D" w:rsidRDefault="00A12DC8" w:rsidP="002B6F88">
            <w:pPr>
              <w:spacing w:after="0" w:line="240" w:lineRule="auto"/>
              <w:rPr>
                <w:rFonts w:ascii="Times New Roman" w:eastAsia="Times New Roman" w:hAnsi="Times New Roman" w:cs="Times New Roman"/>
                <w:sz w:val="26"/>
                <w:szCs w:val="26"/>
              </w:rPr>
            </w:pPr>
            <w:r w:rsidRPr="00465D1D">
              <w:rPr>
                <w:rFonts w:ascii="Times New Roman" w:eastAsia="Times New Roman" w:hAnsi="Times New Roman" w:cs="Times New Roman"/>
                <w:sz w:val="26"/>
                <w:szCs w:val="26"/>
              </w:rPr>
              <w:t>2. Phương án 2:  Được phân chia lợi nhuận theo tỷ lệ Khách hàng hưởng 80%, Chủ đầu tư hưởng 20% ngay từ năm đầu tiên khai thác đưa vào bàn giao sử dụng.</w:t>
            </w:r>
            <w:r w:rsidR="00340DB6">
              <w:rPr>
                <w:rFonts w:ascii="Times New Roman" w:eastAsia="Times New Roman" w:hAnsi="Times New Roman" w:cs="Times New Roman"/>
                <w:sz w:val="26"/>
                <w:szCs w:val="26"/>
              </w:rPr>
              <w:t xml:space="preserve"> Theo phương án này thì phí dịch vụ</w:t>
            </w:r>
            <w:r w:rsidR="00677E59">
              <w:rPr>
                <w:rFonts w:ascii="Times New Roman" w:eastAsia="Times New Roman" w:hAnsi="Times New Roman" w:cs="Times New Roman"/>
                <w:sz w:val="26"/>
                <w:szCs w:val="26"/>
              </w:rPr>
              <w:t xml:space="preserve"> được</w:t>
            </w:r>
            <w:r w:rsidR="00340DB6">
              <w:rPr>
                <w:rFonts w:ascii="Times New Roman" w:eastAsia="Times New Roman" w:hAnsi="Times New Roman" w:cs="Times New Roman"/>
                <w:sz w:val="26"/>
                <w:szCs w:val="26"/>
              </w:rPr>
              <w:t xml:space="preserve"> tính vào chi phí kinh doanh.</w:t>
            </w:r>
          </w:p>
          <w:p w:rsidR="00A12DC8" w:rsidRPr="00465D1D" w:rsidRDefault="00A12DC8" w:rsidP="006F4E05">
            <w:pPr>
              <w:spacing w:after="0" w:line="240" w:lineRule="auto"/>
              <w:jc w:val="both"/>
              <w:rPr>
                <w:rFonts w:ascii="Times New Roman" w:eastAsia="Times New Roman" w:hAnsi="Times New Roman" w:cs="Times New Roman"/>
                <w:sz w:val="26"/>
                <w:szCs w:val="26"/>
              </w:rPr>
            </w:pPr>
            <w:r w:rsidRPr="00465D1D">
              <w:rPr>
                <w:rFonts w:ascii="Times New Roman" w:eastAsia="Times New Roman" w:hAnsi="Times New Roman" w:cs="Times New Roman"/>
                <w:sz w:val="26"/>
                <w:szCs w:val="26"/>
              </w:rPr>
              <w:t>Miễn phí 15 đêm nghỉ dưỡng/năm (không bao gồm tiền ăn sáng và các phí khác).</w:t>
            </w:r>
          </w:p>
          <w:p w:rsidR="00A12DC8" w:rsidRPr="00465D1D" w:rsidRDefault="00A12DC8" w:rsidP="006F4E05">
            <w:pPr>
              <w:spacing w:after="0" w:line="240" w:lineRule="auto"/>
              <w:jc w:val="center"/>
              <w:rPr>
                <w:rFonts w:ascii="Times New Roman" w:eastAsia="Times New Roman" w:hAnsi="Times New Roman" w:cs="Times New Roman"/>
                <w:sz w:val="26"/>
                <w:szCs w:val="26"/>
              </w:rPr>
            </w:pPr>
          </w:p>
        </w:tc>
      </w:tr>
      <w:tr w:rsidR="00A12DC8" w:rsidRPr="00465D1D" w:rsidTr="00B04509">
        <w:trPr>
          <w:trHeight w:hRule="exact" w:val="442"/>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16</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Đơn vị quản lý vận hành</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Công ty TNHH Liên Doanh Đầu tư quản lý khách sạn TIH HOLIDAY</w:t>
            </w:r>
          </w:p>
          <w:p w:rsidR="00A12DC8" w:rsidRPr="00465D1D" w:rsidRDefault="00A12DC8" w:rsidP="006F4E05">
            <w:pPr>
              <w:spacing w:after="0" w:line="240" w:lineRule="auto"/>
              <w:rPr>
                <w:rFonts w:ascii="Times New Roman" w:eastAsia="Times New Roman" w:hAnsi="Times New Roman" w:cs="Times New Roman"/>
                <w:color w:val="000000"/>
                <w:sz w:val="26"/>
                <w:szCs w:val="26"/>
              </w:rPr>
            </w:pPr>
          </w:p>
        </w:tc>
      </w:tr>
      <w:tr w:rsidR="00A12DC8" w:rsidRPr="00465D1D" w:rsidTr="00B04509">
        <w:trPr>
          <w:trHeight w:val="98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17</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Nhà đầu tư có bắt buộc phải ký hợp tác cho thuê không? Nếu có thì bao nhiêu năm?</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007CF4" w:rsidP="006F4E05">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Như nêu tại mục 15, nếu ủy thác cho CĐT vận hành khai thác thì tối thiểu 1 năm, tối đa theo thỏa thuận.</w:t>
            </w:r>
          </w:p>
        </w:tc>
      </w:tr>
      <w:tr w:rsidR="00A12DC8" w:rsidRPr="00465D1D" w:rsidTr="00065A40">
        <w:trPr>
          <w:trHeight w:hRule="exact" w:val="73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18</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Nhà đầu tư có được ở hoặc tự kinh doanh không?</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8A0FD6" w:rsidP="00B04509">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Như nêu tại mục 15. Khách hàng có thể </w:t>
            </w:r>
            <w:r w:rsidR="00B04509">
              <w:rPr>
                <w:rFonts w:ascii="Times New Roman" w:eastAsia="Times New Roman" w:hAnsi="Times New Roman" w:cs="Times New Roman"/>
                <w:color w:val="000000"/>
                <w:sz w:val="26"/>
                <w:szCs w:val="26"/>
              </w:rPr>
              <w:t>dùn</w:t>
            </w:r>
            <w:r w:rsidR="00837EA9">
              <w:rPr>
                <w:rFonts w:ascii="Times New Roman" w:eastAsia="Times New Roman" w:hAnsi="Times New Roman" w:cs="Times New Roman"/>
                <w:color w:val="000000"/>
                <w:sz w:val="26"/>
                <w:szCs w:val="26"/>
              </w:rPr>
              <w:t>g biệt thự để ở</w:t>
            </w:r>
            <w:r w:rsidR="00B04509">
              <w:rPr>
                <w:rFonts w:ascii="Times New Roman" w:eastAsia="Times New Roman" w:hAnsi="Times New Roman" w:cs="Times New Roman"/>
                <w:color w:val="000000"/>
                <w:sz w:val="26"/>
                <w:szCs w:val="26"/>
              </w:rPr>
              <w:t xml:space="preserve"> tuy nhiên không được sử dụng địa chỉ để đăng ký Hộ khẩu thường trú</w:t>
            </w:r>
            <w:r w:rsidR="00837EA9">
              <w:rPr>
                <w:rFonts w:ascii="Times New Roman" w:eastAsia="Times New Roman" w:hAnsi="Times New Roman" w:cs="Times New Roman"/>
                <w:color w:val="000000"/>
                <w:sz w:val="26"/>
                <w:szCs w:val="26"/>
              </w:rPr>
              <w:t>.</w:t>
            </w:r>
          </w:p>
        </w:tc>
      </w:tr>
      <w:tr w:rsidR="00A12DC8" w:rsidRPr="00465D1D" w:rsidTr="00E779DF">
        <w:trPr>
          <w:trHeight w:hRule="exact" w:val="1612"/>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19</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Phí dịch vụ khi về ở hoặc tự kinh doanh như thế nào?</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jc w:val="both"/>
              <w:rPr>
                <w:rFonts w:ascii="Times New Roman" w:hAnsi="Times New Roman" w:cs="Times New Roman"/>
                <w:sz w:val="26"/>
                <w:szCs w:val="26"/>
                <w:lang w:val="vi-VN"/>
              </w:rPr>
            </w:pPr>
            <w:r w:rsidRPr="00465D1D">
              <w:rPr>
                <w:rFonts w:ascii="Times New Roman" w:hAnsi="Times New Roman" w:cs="Times New Roman"/>
                <w:sz w:val="26"/>
                <w:szCs w:val="26"/>
                <w:lang w:val="vi-VN"/>
              </w:rPr>
              <w:t>Phí Quản Lý và Bảo Trì Chung: (dự kiến:</w:t>
            </w:r>
            <w:r w:rsidR="00392838">
              <w:rPr>
                <w:rFonts w:ascii="Times New Roman" w:hAnsi="Times New Roman" w:cs="Times New Roman"/>
                <w:sz w:val="26"/>
                <w:szCs w:val="26"/>
              </w:rPr>
              <w:t xml:space="preserve"> 15</w:t>
            </w:r>
            <w:r w:rsidRPr="00465D1D">
              <w:rPr>
                <w:rFonts w:ascii="Times New Roman" w:hAnsi="Times New Roman" w:cs="Times New Roman"/>
                <w:sz w:val="26"/>
                <w:szCs w:val="26"/>
                <w:lang w:val="vi-VN"/>
              </w:rPr>
              <w:t xml:space="preserve">.000 VNĐ/tháng/m2 </w:t>
            </w:r>
            <w:r w:rsidR="009F3F43">
              <w:rPr>
                <w:rFonts w:ascii="Times New Roman" w:hAnsi="Times New Roman" w:cs="Times New Roman"/>
                <w:sz w:val="26"/>
                <w:szCs w:val="26"/>
              </w:rPr>
              <w:t xml:space="preserve">* </w:t>
            </w:r>
            <w:r w:rsidRPr="00465D1D">
              <w:rPr>
                <w:rFonts w:ascii="Times New Roman" w:hAnsi="Times New Roman" w:cs="Times New Roman"/>
                <w:sz w:val="26"/>
                <w:szCs w:val="26"/>
                <w:lang w:val="vi-VN"/>
              </w:rPr>
              <w:t xml:space="preserve">Tổng Diện Tích </w:t>
            </w:r>
            <w:r w:rsidRPr="00465D1D">
              <w:rPr>
                <w:rFonts w:ascii="Times New Roman" w:hAnsi="Times New Roman" w:cs="Times New Roman"/>
                <w:sz w:val="26"/>
                <w:szCs w:val="26"/>
              </w:rPr>
              <w:t>Đất</w:t>
            </w:r>
            <w:r w:rsidRPr="00465D1D">
              <w:rPr>
                <w:rFonts w:ascii="Times New Roman" w:hAnsi="Times New Roman" w:cs="Times New Roman"/>
                <w:sz w:val="26"/>
                <w:szCs w:val="26"/>
                <w:lang w:val="vi-VN"/>
              </w:rPr>
              <w:t>)</w:t>
            </w:r>
          </w:p>
          <w:p w:rsidR="00A12DC8" w:rsidRPr="00465D1D" w:rsidRDefault="00A12DC8" w:rsidP="006F4E05">
            <w:pPr>
              <w:spacing w:after="0" w:line="240" w:lineRule="auto"/>
              <w:jc w:val="both"/>
              <w:rPr>
                <w:rFonts w:ascii="Times New Roman" w:hAnsi="Times New Roman" w:cs="Times New Roman"/>
                <w:sz w:val="26"/>
                <w:szCs w:val="26"/>
                <w:lang w:val="vi-VN"/>
              </w:rPr>
            </w:pPr>
            <w:r w:rsidRPr="00465D1D">
              <w:rPr>
                <w:rFonts w:ascii="Times New Roman" w:hAnsi="Times New Roman" w:cs="Times New Roman"/>
                <w:sz w:val="26"/>
                <w:szCs w:val="26"/>
                <w:lang w:val="vi-VN"/>
              </w:rPr>
              <w:t>Phí này đã bao gồm phí bảo hiểm cho Khu Vực Chung và Công Trình Tiện Ích Chung. Ngoài ra, Chủ đầu tư, tùy theo quyết định của mình, có toàn quyền gộp chi phí bảo hiểm thuộc trách nhiệm của Khách hàng vào Phí Quản Lý và Bảo Trì Chung này và Khách hàng có nghĩa vụ đóng góp phí này cho Chủ đầu tư theo quy định.</w:t>
            </w:r>
          </w:p>
          <w:p w:rsidR="00A12DC8" w:rsidRPr="00465D1D" w:rsidRDefault="00A12DC8" w:rsidP="00446535">
            <w:pPr>
              <w:spacing w:after="0" w:line="240" w:lineRule="auto"/>
              <w:jc w:val="both"/>
              <w:rPr>
                <w:rFonts w:ascii="Times New Roman" w:hAnsi="Times New Roman" w:cs="Times New Roman"/>
                <w:sz w:val="26"/>
                <w:szCs w:val="26"/>
                <w:lang w:val="vi-VN"/>
              </w:rPr>
            </w:pPr>
          </w:p>
        </w:tc>
      </w:tr>
      <w:tr w:rsidR="00A12DC8" w:rsidRPr="00465D1D" w:rsidTr="00E779DF">
        <w:trPr>
          <w:trHeight w:hRule="exact" w:val="685"/>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20</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C8" w:rsidRPr="00465D1D" w:rsidRDefault="00A12DC8" w:rsidP="003E122F">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Cam kết lợi nhuận tính</w:t>
            </w:r>
            <w:r w:rsidR="003E122F">
              <w:rPr>
                <w:rFonts w:ascii="Times New Roman" w:eastAsia="Times New Roman" w:hAnsi="Times New Roman" w:cs="Times New Roman"/>
                <w:color w:val="000000"/>
                <w:sz w:val="26"/>
                <w:szCs w:val="26"/>
              </w:rPr>
              <w:t xml:space="preserve"> như thế nào</w:t>
            </w:r>
            <w:r w:rsidRPr="00465D1D">
              <w:rPr>
                <w:rFonts w:ascii="Times New Roman" w:eastAsia="Times New Roman" w:hAnsi="Times New Roman" w:cs="Times New Roman"/>
                <w:color w:val="000000"/>
                <w:sz w:val="26"/>
                <w:szCs w:val="26"/>
              </w:rPr>
              <w:t>?</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2DC8" w:rsidRPr="00465D1D" w:rsidRDefault="0082352B" w:rsidP="0082352B">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Hiện k</w:t>
            </w:r>
            <w:r w:rsidR="00392838">
              <w:rPr>
                <w:rFonts w:ascii="Times New Roman" w:eastAsia="Times New Roman" w:hAnsi="Times New Roman" w:cs="Times New Roman"/>
                <w:color w:val="000000"/>
                <w:sz w:val="26"/>
                <w:szCs w:val="26"/>
              </w:rPr>
              <w:t>hông có</w:t>
            </w:r>
            <w:r>
              <w:rPr>
                <w:rFonts w:ascii="Times New Roman" w:eastAsia="Times New Roman" w:hAnsi="Times New Roman" w:cs="Times New Roman"/>
                <w:color w:val="000000"/>
                <w:sz w:val="26"/>
                <w:szCs w:val="26"/>
              </w:rPr>
              <w:t xml:space="preserve"> chương trình</w:t>
            </w:r>
            <w:r w:rsidR="00392838">
              <w:rPr>
                <w:rFonts w:ascii="Times New Roman" w:eastAsia="Times New Roman" w:hAnsi="Times New Roman" w:cs="Times New Roman"/>
                <w:color w:val="000000"/>
                <w:sz w:val="26"/>
                <w:szCs w:val="26"/>
              </w:rPr>
              <w:t xml:space="preserve"> cam kết lợi nhuận.</w:t>
            </w:r>
          </w:p>
        </w:tc>
      </w:tr>
      <w:tr w:rsidR="00A12DC8" w:rsidRPr="00465D1D" w:rsidTr="00D3253C">
        <w:trPr>
          <w:trHeight w:val="945"/>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12DC8" w:rsidRPr="00465D1D" w:rsidRDefault="00820FBF" w:rsidP="006F4E05">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Nhà đầu tư phải chịu những khoản thuế, phí nào đối với khoản tiền lợi nhuận thu về?</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2DC8" w:rsidRPr="00465D1D" w:rsidRDefault="00A12DC8" w:rsidP="00E73D60">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Khi tham gia Chương trình hợp tác, các Nhà đầu tư sẽ nhận được lợi nhuận hàng năm, sau khi có kết quả kiểm toán đã được phê duyệt, và sẽ phải trả khoản thuế thu nhập theo quy định của Luật Thuế </w:t>
            </w:r>
          </w:p>
        </w:tc>
      </w:tr>
      <w:tr w:rsidR="00A12DC8" w:rsidRPr="00465D1D" w:rsidTr="00E779DF">
        <w:trPr>
          <w:trHeight w:val="134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12DC8" w:rsidRPr="00465D1D" w:rsidRDefault="00820FBF" w:rsidP="006F4E05">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 xml:space="preserve">Trong thời gian vận hành nếu xảy ra hỏng hóc, khấu hao nội thất + thiết bị không đạt đủ chất lượng 5* và cần thay mới thì chi phí do bên nào chịu? </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2DC8" w:rsidRPr="00465D1D" w:rsidRDefault="00A12DC8" w:rsidP="0004475B">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 xml:space="preserve">Trong thời gian vận hành, mọi hỏng hóc do Bên thứ 3 gây ra sẽ được bảo hiểm trong Hợp đồng Bảo hiểm tài sản và phòng chống </w:t>
            </w:r>
            <w:r w:rsidR="0004475B">
              <w:rPr>
                <w:rFonts w:ascii="Times New Roman" w:eastAsia="Times New Roman" w:hAnsi="Times New Roman" w:cs="Times New Roman"/>
                <w:color w:val="000000"/>
                <w:sz w:val="26"/>
                <w:szCs w:val="26"/>
              </w:rPr>
              <w:t xml:space="preserve">cháy </w:t>
            </w:r>
            <w:r w:rsidRPr="00465D1D">
              <w:rPr>
                <w:rFonts w:ascii="Times New Roman" w:eastAsia="Times New Roman" w:hAnsi="Times New Roman" w:cs="Times New Roman"/>
                <w:color w:val="000000"/>
                <w:sz w:val="26"/>
                <w:szCs w:val="26"/>
              </w:rPr>
              <w:t>nổ, các chi phí bảo trì thông thường thuộc về chi phí vận hành của Biệt thự (Đơn vị quản lý vận hành/chủ đầu tư).</w:t>
            </w:r>
            <w:r w:rsidRPr="00465D1D">
              <w:rPr>
                <w:rFonts w:ascii="Times New Roman" w:eastAsia="Times New Roman" w:hAnsi="Times New Roman" w:cs="Times New Roman"/>
                <w:color w:val="000000"/>
                <w:sz w:val="26"/>
                <w:szCs w:val="26"/>
              </w:rPr>
              <w:br/>
            </w:r>
          </w:p>
        </w:tc>
      </w:tr>
      <w:tr w:rsidR="00A12DC8" w:rsidRPr="00465D1D" w:rsidTr="003C2EF2">
        <w:trPr>
          <w:trHeight w:val="125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24</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Đơn vị kiểm toán là ai? Chủ sở hữu có được quyền thuê kiểm toán không?</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2DC8" w:rsidRPr="00465D1D" w:rsidRDefault="00A12DC8" w:rsidP="00DF447B">
            <w:pPr>
              <w:spacing w:after="0" w:line="240" w:lineRule="auto"/>
              <w:jc w:val="both"/>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Hiện tại Công ty TLPT đang thuê kiểm toán hàng năm là Công ty TNHH kiểm toán và thẩm định giá Việt Nam (AVA).  Khách hàng có quyền tự mình và/hoặc sắp xếp cho một bên thứ ba xem xét/ kiểm toán báo cáo tài chính hàng năm của Bên Cung Cấp Dịch Vụ liên quan đến Dịch Vụ Quản Lý Cho Thuê mà không làm ảnh hưởng đến hoạt động kinh doanh và các công việc liên quan khác của CĐT. </w:t>
            </w:r>
          </w:p>
        </w:tc>
      </w:tr>
      <w:tr w:rsidR="00A12DC8" w:rsidRPr="00465D1D" w:rsidTr="00D3253C">
        <w:trPr>
          <w:trHeight w:val="557"/>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25</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C8" w:rsidRPr="00465D1D" w:rsidRDefault="00A12DC8" w:rsidP="00D3253C">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 xml:space="preserve">Câu hỏi cho ĐVQLVH: Lợi nhuận là tính theo công suất phòng cho tất cả các Biệt thự </w:t>
            </w:r>
            <w:r w:rsidRPr="00465D1D">
              <w:rPr>
                <w:rFonts w:ascii="Times New Roman" w:eastAsia="Times New Roman" w:hAnsi="Times New Roman" w:cs="Times New Roman"/>
                <w:color w:val="000000"/>
                <w:sz w:val="26"/>
                <w:szCs w:val="26"/>
              </w:rPr>
              <w:lastRenderedPageBreak/>
              <w:t>cộng lại chia đều hay theo công suất riêng của từng Biệt thự?</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2DC8" w:rsidRPr="00465D1D" w:rsidRDefault="00A12DC8" w:rsidP="006F4E05">
            <w:pPr>
              <w:spacing w:after="0" w:line="240" w:lineRule="auto"/>
              <w:jc w:val="both"/>
              <w:rPr>
                <w:rFonts w:ascii="Times New Roman" w:eastAsia="Times New Roman" w:hAnsi="Times New Roman" w:cs="Times New Roman"/>
                <w:color w:val="323232"/>
                <w:sz w:val="26"/>
                <w:szCs w:val="26"/>
              </w:rPr>
            </w:pPr>
            <w:r w:rsidRPr="00465D1D">
              <w:rPr>
                <w:rFonts w:ascii="Times New Roman" w:eastAsia="Times New Roman" w:hAnsi="Times New Roman" w:cs="Times New Roman"/>
                <w:color w:val="323232"/>
                <w:sz w:val="26"/>
                <w:szCs w:val="26"/>
              </w:rPr>
              <w:lastRenderedPageBreak/>
              <w:t xml:space="preserve">Được phân chia lợi nhuận theo tỷ lệ Khách hàng hưởng 80%, Chủ đầu tư hưởng 20% ngay từ năm đầu tiên khai thác đưa vào bàn giao sử dụng. </w:t>
            </w:r>
          </w:p>
          <w:p w:rsidR="00A12DC8" w:rsidRPr="00465D1D" w:rsidRDefault="00A12DC8" w:rsidP="006F4E05">
            <w:pPr>
              <w:spacing w:after="0" w:line="240" w:lineRule="auto"/>
              <w:jc w:val="both"/>
              <w:rPr>
                <w:rFonts w:ascii="Times New Roman" w:eastAsia="Times New Roman" w:hAnsi="Times New Roman" w:cs="Times New Roman"/>
                <w:color w:val="323232"/>
                <w:sz w:val="26"/>
                <w:szCs w:val="26"/>
              </w:rPr>
            </w:pPr>
            <w:r w:rsidRPr="00E74AC4">
              <w:rPr>
                <w:rFonts w:ascii="Times New Roman" w:eastAsia="Times New Roman" w:hAnsi="Times New Roman" w:cs="Times New Roman"/>
                <w:color w:val="323232"/>
                <w:sz w:val="26"/>
                <w:szCs w:val="26"/>
                <w:highlight w:val="yellow"/>
              </w:rPr>
              <w:t xml:space="preserve">=&gt; </w:t>
            </w:r>
            <w:r w:rsidR="002A587D">
              <w:rPr>
                <w:rFonts w:ascii="Times New Roman" w:eastAsia="Times New Roman" w:hAnsi="Times New Roman" w:cs="Times New Roman"/>
                <w:color w:val="323232"/>
                <w:sz w:val="26"/>
                <w:szCs w:val="26"/>
                <w:highlight w:val="yellow"/>
              </w:rPr>
              <w:t xml:space="preserve">Lợi nhuận được tính </w:t>
            </w:r>
            <w:r w:rsidR="0051048B">
              <w:rPr>
                <w:rFonts w:ascii="Times New Roman" w:eastAsia="Times New Roman" w:hAnsi="Times New Roman" w:cs="Times New Roman"/>
                <w:color w:val="323232"/>
                <w:sz w:val="26"/>
                <w:szCs w:val="26"/>
                <w:highlight w:val="yellow"/>
              </w:rPr>
              <w:t xml:space="preserve">theo từng Phân khu </w:t>
            </w:r>
            <w:r w:rsidRPr="00E74AC4">
              <w:rPr>
                <w:rFonts w:ascii="Times New Roman" w:eastAsia="Times New Roman" w:hAnsi="Times New Roman" w:cs="Times New Roman"/>
                <w:color w:val="323232"/>
                <w:sz w:val="26"/>
                <w:szCs w:val="26"/>
                <w:highlight w:val="yellow"/>
              </w:rPr>
              <w:t>Biệt thự</w:t>
            </w:r>
          </w:p>
          <w:p w:rsidR="00A12DC8" w:rsidRPr="00465D1D" w:rsidRDefault="00A12DC8" w:rsidP="00456E94">
            <w:pPr>
              <w:spacing w:after="0" w:line="240" w:lineRule="auto"/>
              <w:jc w:val="both"/>
              <w:rPr>
                <w:rFonts w:ascii="Times New Roman" w:eastAsia="Times New Roman" w:hAnsi="Times New Roman" w:cs="Times New Roman"/>
                <w:color w:val="000000"/>
                <w:sz w:val="26"/>
                <w:szCs w:val="26"/>
              </w:rPr>
            </w:pPr>
          </w:p>
        </w:tc>
      </w:tr>
      <w:tr w:rsidR="00A12DC8" w:rsidRPr="00465D1D" w:rsidTr="0081568C">
        <w:trPr>
          <w:trHeight w:hRule="exact" w:val="190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lastRenderedPageBreak/>
              <w:t>26</w:t>
            </w:r>
          </w:p>
        </w:tc>
        <w:tc>
          <w:tcPr>
            <w:tcW w:w="3641" w:type="dxa"/>
            <w:tcBorders>
              <w:top w:val="nil"/>
              <w:left w:val="nil"/>
              <w:bottom w:val="single" w:sz="4" w:space="0" w:color="auto"/>
              <w:right w:val="single" w:sz="4" w:space="0" w:color="auto"/>
            </w:tcBorders>
            <w:shd w:val="clear" w:color="auto" w:fill="auto"/>
            <w:vAlign w:val="center"/>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Với phương án chia sẻ lợi nhuận, CĐT sẽ tính lợi nhuận Biệt thự như thế nào đối với các Biệt thự của khách hàng để tính lợi nhuận khi Chủ đầu tư cũng có các Biệt thự hiện hữu.</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tcPr>
          <w:p w:rsidR="00A12DC8" w:rsidRPr="00465D1D" w:rsidRDefault="00A12DC8" w:rsidP="006F4E05">
            <w:pPr>
              <w:spacing w:after="0" w:line="240" w:lineRule="auto"/>
              <w:jc w:val="both"/>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Công ty chủ trương là đưa đơn vị quản lý vận hành thứ 3 vào để quản lý toàn bộ Biệt thự được chia sẻ lợi nhuận với thỏa thuận tỷ lệ phân bổ khách lưu trú giữa Biệt thự của C</w:t>
            </w:r>
            <w:r w:rsidR="00D3253C" w:rsidRPr="00465D1D">
              <w:rPr>
                <w:rFonts w:ascii="Times New Roman" w:eastAsia="Times New Roman" w:hAnsi="Times New Roman" w:cs="Times New Roman"/>
                <w:color w:val="000000"/>
                <w:sz w:val="26"/>
                <w:szCs w:val="26"/>
              </w:rPr>
              <w:t>hủ đầu tư và Biệt thự chia sẻ Lợi nhuận</w:t>
            </w:r>
            <w:r w:rsidRPr="00465D1D">
              <w:rPr>
                <w:rFonts w:ascii="Times New Roman" w:eastAsia="Times New Roman" w:hAnsi="Times New Roman" w:cs="Times New Roman"/>
                <w:color w:val="000000"/>
                <w:sz w:val="26"/>
                <w:szCs w:val="26"/>
              </w:rPr>
              <w:t>.</w:t>
            </w:r>
          </w:p>
        </w:tc>
      </w:tr>
      <w:tr w:rsidR="00A12DC8" w:rsidRPr="00465D1D" w:rsidTr="00725757">
        <w:trPr>
          <w:trHeight w:hRule="exact" w:val="1342"/>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27</w:t>
            </w:r>
          </w:p>
        </w:tc>
        <w:tc>
          <w:tcPr>
            <w:tcW w:w="3641" w:type="dxa"/>
            <w:tcBorders>
              <w:top w:val="nil"/>
              <w:left w:val="nil"/>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Khách hàng là người nước ngoài và khách hàng là người Việt nam sinh sống ở nước ngoài có được mua nhà tại Dự án?</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2DC8" w:rsidRPr="00465D1D" w:rsidRDefault="00AA45C3" w:rsidP="00AA45C3">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Theo quy định của pháp luật, h</w:t>
            </w:r>
            <w:r w:rsidR="00A12DC8" w:rsidRPr="00465D1D">
              <w:rPr>
                <w:rFonts w:ascii="Times New Roman" w:eastAsia="Times New Roman" w:hAnsi="Times New Roman" w:cs="Times New Roman"/>
                <w:color w:val="000000"/>
                <w:sz w:val="26"/>
                <w:szCs w:val="26"/>
              </w:rPr>
              <w:t>iện chưa có quy định người nước ngoài được mua biệt thự du lịch (Đang dự thảo). </w:t>
            </w:r>
          </w:p>
        </w:tc>
      </w:tr>
      <w:tr w:rsidR="00A12DC8" w:rsidRPr="00465D1D" w:rsidTr="00D3253C">
        <w:trPr>
          <w:trHeight w:val="62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28</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Nếu chủ đầu tư không hoàn thành đúng tiến độ thì có chế tài gì không? Nó có thể hiện trong hợp đồng mua bán không?</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2DC8" w:rsidRPr="00465D1D" w:rsidRDefault="00A12DC8" w:rsidP="006F4E05">
            <w:pPr>
              <w:spacing w:after="240" w:line="240" w:lineRule="auto"/>
              <w:rPr>
                <w:rFonts w:ascii="Times New Roman" w:hAnsi="Times New Roman" w:cs="Times New Roman"/>
                <w:b/>
                <w:sz w:val="26"/>
                <w:szCs w:val="26"/>
                <w:lang w:val="vi-VN" w:bidi="en-US"/>
              </w:rPr>
            </w:pPr>
            <w:r w:rsidRPr="00725757">
              <w:rPr>
                <w:rFonts w:ascii="Times New Roman" w:hAnsi="Times New Roman" w:cs="Times New Roman"/>
                <w:sz w:val="26"/>
                <w:szCs w:val="26"/>
                <w:highlight w:val="yellow"/>
                <w:lang w:val="vi-VN"/>
              </w:rPr>
              <w:t>Ngoại trừ trường hợp Bất Khả Kháng và/ hoặc Trở Ngại Khách Quan, nếu thời gian chậm bàn giao Biệt Thự vượt quá 90 (chín mươi) ngày theo thỏa thuận</w:t>
            </w:r>
            <w:r w:rsidRPr="00725757">
              <w:rPr>
                <w:rFonts w:ascii="Times New Roman" w:hAnsi="Times New Roman" w:cs="Times New Roman"/>
                <w:color w:val="000000" w:themeColor="text1"/>
                <w:sz w:val="26"/>
                <w:szCs w:val="26"/>
                <w:highlight w:val="yellow"/>
                <w:lang w:val="vi-VN"/>
              </w:rPr>
              <w:t xml:space="preserve"> </w:t>
            </w:r>
            <w:r w:rsidRPr="00725757">
              <w:rPr>
                <w:rFonts w:ascii="Times New Roman" w:hAnsi="Times New Roman" w:cs="Times New Roman"/>
                <w:color w:val="000000" w:themeColor="text1"/>
                <w:sz w:val="26"/>
                <w:szCs w:val="26"/>
                <w:highlight w:val="yellow"/>
              </w:rPr>
              <w:t>(</w:t>
            </w:r>
            <w:r w:rsidRPr="00725757">
              <w:rPr>
                <w:rFonts w:ascii="Times New Roman" w:hAnsi="Times New Roman" w:cs="Times New Roman"/>
                <w:color w:val="000000" w:themeColor="text1"/>
                <w:sz w:val="26"/>
                <w:szCs w:val="26"/>
                <w:highlight w:val="yellow"/>
                <w:lang w:val="vi-VN"/>
              </w:rPr>
              <w:t xml:space="preserve">khi </w:t>
            </w:r>
            <w:r w:rsidRPr="00725757">
              <w:rPr>
                <w:rFonts w:ascii="Times New Roman" w:hAnsi="Times New Roman" w:cs="Times New Roman"/>
                <w:color w:val="000000" w:themeColor="text1"/>
                <w:sz w:val="26"/>
                <w:szCs w:val="26"/>
                <w:highlight w:val="yellow"/>
              </w:rPr>
              <w:t>Khách hàng</w:t>
            </w:r>
            <w:r w:rsidRPr="00725757">
              <w:rPr>
                <w:rFonts w:ascii="Times New Roman" w:hAnsi="Times New Roman" w:cs="Times New Roman"/>
                <w:color w:val="000000" w:themeColor="text1"/>
                <w:sz w:val="26"/>
                <w:szCs w:val="26"/>
                <w:highlight w:val="yellow"/>
                <w:lang w:val="vi-VN"/>
              </w:rPr>
              <w:t xml:space="preserve"> đã thực hiện đầy đủ nghĩa vụ thanh toán theo quy định</w:t>
            </w:r>
            <w:r w:rsidRPr="00725757">
              <w:rPr>
                <w:rFonts w:ascii="Times New Roman" w:hAnsi="Times New Roman" w:cs="Times New Roman"/>
                <w:color w:val="000000" w:themeColor="text1"/>
                <w:sz w:val="26"/>
                <w:szCs w:val="26"/>
                <w:highlight w:val="yellow"/>
              </w:rPr>
              <w:t>)</w:t>
            </w:r>
            <w:r w:rsidRPr="00725757">
              <w:rPr>
                <w:rFonts w:ascii="Times New Roman" w:hAnsi="Times New Roman" w:cs="Times New Roman"/>
                <w:sz w:val="26"/>
                <w:szCs w:val="26"/>
                <w:highlight w:val="yellow"/>
                <w:lang w:val="vi-VN"/>
              </w:rPr>
              <w:t xml:space="preserve"> thì Khách hàng có quyền yêu cầu chấm dứt Hợp Đồng và Chủ đầu tư phải hoàn trả cho Khách hàng toàn bộ khoản tiền đã thanh toán (tiền gốc) và khoản tiền lãi tính trên số tiền gốc theo mức lãi suất trần lãi suất huy động gửi tiền tiết kiệm do Ngân hàng Nhà nước công bố tại thời điểm đó, tương ứng vớ</w:t>
            </w:r>
            <w:r w:rsidR="003D78C3">
              <w:rPr>
                <w:rFonts w:ascii="Times New Roman" w:hAnsi="Times New Roman" w:cs="Times New Roman"/>
                <w:sz w:val="26"/>
                <w:szCs w:val="26"/>
                <w:highlight w:val="yellow"/>
              </w:rPr>
              <w:t>i</w:t>
            </w:r>
            <w:r w:rsidRPr="00725757">
              <w:rPr>
                <w:rFonts w:ascii="Times New Roman" w:hAnsi="Times New Roman" w:cs="Times New Roman"/>
                <w:sz w:val="26"/>
                <w:szCs w:val="26"/>
                <w:highlight w:val="yellow"/>
                <w:lang w:val="vi-VN"/>
              </w:rPr>
              <w:t xml:space="preserve"> thời hạn tính lãi suất. </w:t>
            </w:r>
            <w:r w:rsidRPr="00725757">
              <w:rPr>
                <w:rFonts w:ascii="Times New Roman" w:hAnsi="Times New Roman" w:cs="Times New Roman"/>
                <w:sz w:val="26"/>
                <w:szCs w:val="26"/>
                <w:highlight w:val="yellow"/>
                <w:lang w:val="vi-VN" w:bidi="en-US"/>
              </w:rPr>
              <w:t>Thời hạn tính lãi suất được tính kể từ ngày thứ 91 (chín mươi mốt) đến Ngày Bàn Giao Biệt Thự.</w:t>
            </w:r>
          </w:p>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hAnsi="Times New Roman" w:cs="Times New Roman"/>
                <w:sz w:val="26"/>
                <w:szCs w:val="26"/>
                <w:lang w:val="vi-VN"/>
              </w:rPr>
              <w:t>Sau khi Chủ đầu tư thực hiện xong nghĩa vụ hoàn trả cho Khách hàng toàn bộ khoản tiền đã thanh toán (tiền gốc) và khoản tiền lãi</w:t>
            </w:r>
            <w:r w:rsidRPr="00465D1D">
              <w:rPr>
                <w:rFonts w:ascii="Times New Roman" w:hAnsi="Times New Roman" w:cs="Times New Roman"/>
                <w:b/>
                <w:sz w:val="26"/>
                <w:szCs w:val="26"/>
                <w:lang w:val="vi-VN"/>
              </w:rPr>
              <w:t xml:space="preserve"> </w:t>
            </w:r>
            <w:r w:rsidRPr="00465D1D">
              <w:rPr>
                <w:rFonts w:ascii="Times New Roman" w:hAnsi="Times New Roman" w:cs="Times New Roman"/>
                <w:sz w:val="26"/>
                <w:szCs w:val="26"/>
                <w:lang w:val="vi-VN"/>
              </w:rPr>
              <w:t>thì Hai Bên làm thủ tục chấm dứt Hợp Đồng và Khách hàng không có quyền nhận Biệt Thự, Chủ đầu tư có toàn quyền bán Biệt Thự cho Bên Thứ Ba.</w:t>
            </w:r>
            <w:r w:rsidRPr="00465D1D">
              <w:rPr>
                <w:rFonts w:ascii="Times New Roman" w:eastAsia="Times New Roman" w:hAnsi="Times New Roman" w:cs="Times New Roman"/>
                <w:color w:val="000000"/>
                <w:sz w:val="26"/>
                <w:szCs w:val="26"/>
              </w:rPr>
              <w:t> </w:t>
            </w:r>
          </w:p>
        </w:tc>
      </w:tr>
      <w:tr w:rsidR="00A12DC8" w:rsidRPr="00465D1D" w:rsidTr="00D3253C">
        <w:trPr>
          <w:trHeight w:val="480"/>
        </w:trPr>
        <w:tc>
          <w:tcPr>
            <w:tcW w:w="720" w:type="dxa"/>
            <w:tcBorders>
              <w:top w:val="single" w:sz="4" w:space="0" w:color="auto"/>
              <w:left w:val="single" w:sz="4" w:space="0" w:color="000000"/>
              <w:bottom w:val="single" w:sz="4" w:space="0" w:color="auto"/>
              <w:right w:val="single" w:sz="4" w:space="0" w:color="auto"/>
            </w:tcBorders>
            <w:shd w:val="clear" w:color="000000" w:fill="FABF8F"/>
            <w:vAlign w:val="center"/>
            <w:hideMark/>
          </w:tcPr>
          <w:p w:rsidR="00A12DC8" w:rsidRPr="00465D1D" w:rsidRDefault="00A12DC8" w:rsidP="006F4E05">
            <w:pPr>
              <w:spacing w:after="0" w:line="240" w:lineRule="auto"/>
              <w:rPr>
                <w:rFonts w:ascii="Times New Roman" w:eastAsia="Times New Roman" w:hAnsi="Times New Roman" w:cs="Times New Roman"/>
                <w:b/>
                <w:bCs/>
                <w:color w:val="000000"/>
                <w:sz w:val="26"/>
                <w:szCs w:val="26"/>
              </w:rPr>
            </w:pPr>
            <w:r w:rsidRPr="00465D1D">
              <w:rPr>
                <w:rFonts w:ascii="Times New Roman" w:eastAsia="Times New Roman" w:hAnsi="Times New Roman" w:cs="Times New Roman"/>
                <w:b/>
                <w:bCs/>
                <w:color w:val="000000"/>
                <w:sz w:val="26"/>
                <w:szCs w:val="26"/>
              </w:rPr>
              <w:t>IV</w:t>
            </w:r>
          </w:p>
        </w:tc>
        <w:tc>
          <w:tcPr>
            <w:tcW w:w="3641" w:type="dxa"/>
            <w:tcBorders>
              <w:top w:val="nil"/>
              <w:left w:val="nil"/>
              <w:bottom w:val="single" w:sz="4" w:space="0" w:color="auto"/>
              <w:right w:val="single" w:sz="4" w:space="0" w:color="auto"/>
            </w:tcBorders>
            <w:shd w:val="clear" w:color="000000" w:fill="FABF8F"/>
            <w:vAlign w:val="center"/>
            <w:hideMark/>
          </w:tcPr>
          <w:p w:rsidR="00A12DC8" w:rsidRPr="00465D1D" w:rsidRDefault="00A12DC8" w:rsidP="006F4E05">
            <w:pPr>
              <w:spacing w:after="0" w:line="240" w:lineRule="auto"/>
              <w:rPr>
                <w:rFonts w:ascii="Times New Roman" w:eastAsia="Times New Roman" w:hAnsi="Times New Roman" w:cs="Times New Roman"/>
                <w:b/>
                <w:bCs/>
                <w:color w:val="000000"/>
                <w:sz w:val="26"/>
                <w:szCs w:val="26"/>
              </w:rPr>
            </w:pPr>
            <w:r w:rsidRPr="00465D1D">
              <w:rPr>
                <w:rFonts w:ascii="Times New Roman" w:eastAsia="Times New Roman" w:hAnsi="Times New Roman" w:cs="Times New Roman"/>
                <w:b/>
                <w:bCs/>
                <w:color w:val="000000"/>
                <w:sz w:val="26"/>
                <w:szCs w:val="26"/>
              </w:rPr>
              <w:t>PHÁP LÝ DỰ ÁN:</w:t>
            </w:r>
          </w:p>
        </w:tc>
        <w:tc>
          <w:tcPr>
            <w:tcW w:w="11056" w:type="dxa"/>
            <w:tcBorders>
              <w:top w:val="single" w:sz="4" w:space="0" w:color="auto"/>
              <w:left w:val="single" w:sz="4" w:space="0" w:color="auto"/>
              <w:bottom w:val="single" w:sz="4" w:space="0" w:color="auto"/>
              <w:right w:val="single" w:sz="4" w:space="0" w:color="000000"/>
            </w:tcBorders>
            <w:shd w:val="clear" w:color="000000" w:fill="FABF8F"/>
            <w:vAlign w:val="center"/>
            <w:hideMark/>
          </w:tcPr>
          <w:p w:rsidR="00A12DC8" w:rsidRPr="00465D1D" w:rsidRDefault="00A12DC8" w:rsidP="006F4E05">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Đã giao đầy đủ cho các bên </w:t>
            </w:r>
          </w:p>
        </w:tc>
      </w:tr>
      <w:tr w:rsidR="00A12DC8" w:rsidRPr="00465D1D" w:rsidTr="00D3253C">
        <w:trPr>
          <w:trHeight w:val="450"/>
        </w:trPr>
        <w:tc>
          <w:tcPr>
            <w:tcW w:w="720" w:type="dxa"/>
            <w:tcBorders>
              <w:top w:val="single" w:sz="4" w:space="0" w:color="auto"/>
              <w:left w:val="single" w:sz="4" w:space="0" w:color="000000"/>
              <w:bottom w:val="single" w:sz="4" w:space="0" w:color="auto"/>
              <w:right w:val="single" w:sz="4" w:space="0" w:color="auto"/>
            </w:tcBorders>
            <w:shd w:val="clear" w:color="000000" w:fill="FABF8F"/>
            <w:vAlign w:val="center"/>
            <w:hideMark/>
          </w:tcPr>
          <w:p w:rsidR="00A12DC8" w:rsidRPr="00465D1D" w:rsidRDefault="00A12DC8" w:rsidP="006F4E05">
            <w:pPr>
              <w:spacing w:after="0" w:line="240" w:lineRule="auto"/>
              <w:rPr>
                <w:rFonts w:ascii="Times New Roman" w:eastAsia="Times New Roman" w:hAnsi="Times New Roman" w:cs="Times New Roman"/>
                <w:b/>
                <w:bCs/>
                <w:color w:val="000000"/>
                <w:sz w:val="26"/>
                <w:szCs w:val="26"/>
              </w:rPr>
            </w:pPr>
            <w:r w:rsidRPr="00465D1D">
              <w:rPr>
                <w:rFonts w:ascii="Times New Roman" w:eastAsia="Times New Roman" w:hAnsi="Times New Roman" w:cs="Times New Roman"/>
                <w:b/>
                <w:bCs/>
                <w:color w:val="000000"/>
                <w:sz w:val="26"/>
                <w:szCs w:val="26"/>
              </w:rPr>
              <w:t>V</w:t>
            </w:r>
          </w:p>
        </w:tc>
        <w:tc>
          <w:tcPr>
            <w:tcW w:w="3641" w:type="dxa"/>
            <w:tcBorders>
              <w:top w:val="nil"/>
              <w:left w:val="nil"/>
              <w:bottom w:val="single" w:sz="4" w:space="0" w:color="auto"/>
              <w:right w:val="single" w:sz="4" w:space="0" w:color="auto"/>
            </w:tcBorders>
            <w:shd w:val="clear" w:color="000000" w:fill="FABF8F"/>
            <w:vAlign w:val="center"/>
            <w:hideMark/>
          </w:tcPr>
          <w:p w:rsidR="00A12DC8" w:rsidRPr="00465D1D" w:rsidRDefault="00A12DC8" w:rsidP="006F4E05">
            <w:pPr>
              <w:spacing w:after="0" w:line="240" w:lineRule="auto"/>
              <w:rPr>
                <w:rFonts w:ascii="Times New Roman" w:eastAsia="Times New Roman" w:hAnsi="Times New Roman" w:cs="Times New Roman"/>
                <w:b/>
                <w:bCs/>
                <w:color w:val="000000"/>
                <w:sz w:val="26"/>
                <w:szCs w:val="26"/>
              </w:rPr>
            </w:pPr>
            <w:r w:rsidRPr="00465D1D">
              <w:rPr>
                <w:rFonts w:ascii="Times New Roman" w:eastAsia="Times New Roman" w:hAnsi="Times New Roman" w:cs="Times New Roman"/>
                <w:b/>
                <w:bCs/>
                <w:color w:val="000000"/>
                <w:sz w:val="26"/>
                <w:szCs w:val="26"/>
              </w:rPr>
              <w:t>NGÂN HÀNG:</w:t>
            </w:r>
          </w:p>
        </w:tc>
        <w:tc>
          <w:tcPr>
            <w:tcW w:w="11056" w:type="dxa"/>
            <w:tcBorders>
              <w:top w:val="single" w:sz="4" w:space="0" w:color="auto"/>
              <w:left w:val="single" w:sz="4" w:space="0" w:color="auto"/>
              <w:bottom w:val="single" w:sz="4" w:space="0" w:color="auto"/>
              <w:right w:val="single" w:sz="4" w:space="0" w:color="000000"/>
            </w:tcBorders>
            <w:shd w:val="clear" w:color="000000" w:fill="FABF8F"/>
            <w:vAlign w:val="center"/>
            <w:hideMark/>
          </w:tcPr>
          <w:p w:rsidR="00A12DC8" w:rsidRPr="00465D1D" w:rsidRDefault="00A12DC8" w:rsidP="006F4E05">
            <w:pPr>
              <w:spacing w:after="0" w:line="240" w:lineRule="auto"/>
              <w:jc w:val="center"/>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 </w:t>
            </w:r>
          </w:p>
        </w:tc>
      </w:tr>
      <w:tr w:rsidR="00A12DC8" w:rsidRPr="00465D1D" w:rsidTr="00D3253C">
        <w:trPr>
          <w:trHeight w:val="435"/>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12DC8" w:rsidRPr="00465D1D" w:rsidRDefault="00770C2E" w:rsidP="001D5062">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29</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C8" w:rsidRPr="00465D1D" w:rsidRDefault="00A12DC8" w:rsidP="001D5062">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Ngân hàng tài trợ dự án</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2DC8" w:rsidRPr="00465D1D" w:rsidRDefault="00A12DC8" w:rsidP="001D5062">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Ngân hàng TMCP Quốc Dân </w:t>
            </w:r>
          </w:p>
        </w:tc>
      </w:tr>
      <w:tr w:rsidR="007F055C" w:rsidRPr="00465D1D" w:rsidTr="00D3253C">
        <w:trPr>
          <w:trHeight w:val="63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7F055C" w:rsidRPr="00465D1D" w:rsidRDefault="00770C2E" w:rsidP="007F055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55C" w:rsidRPr="00465D1D" w:rsidRDefault="007F055C" w:rsidP="007F055C">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Ngân hàng cho vay?</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055C" w:rsidRPr="00465D1D" w:rsidRDefault="007C0963" w:rsidP="007F055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Chưa có Ngân hàng cho vay </w:t>
            </w:r>
            <w:r w:rsidR="007F055C" w:rsidRPr="00465D1D">
              <w:rPr>
                <w:rFonts w:ascii="Times New Roman" w:eastAsia="Times New Roman" w:hAnsi="Times New Roman" w:cs="Times New Roman"/>
                <w:color w:val="000000"/>
                <w:sz w:val="26"/>
                <w:szCs w:val="26"/>
              </w:rPr>
              <w:t> </w:t>
            </w:r>
          </w:p>
        </w:tc>
      </w:tr>
      <w:tr w:rsidR="007F055C" w:rsidRPr="00465D1D" w:rsidTr="00D3253C">
        <w:trPr>
          <w:trHeight w:val="63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7F055C" w:rsidRPr="00465D1D" w:rsidRDefault="004F6AFB" w:rsidP="007F055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55C" w:rsidRPr="00465D1D" w:rsidRDefault="007F055C" w:rsidP="007F055C">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Khách hàng được vay tối đa bao nhiêu %? Trong thời gian bao lâu?</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055C" w:rsidRPr="00465D1D" w:rsidRDefault="00490FAB" w:rsidP="008E79CA">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Hiện chỉ có chính sách cho va</w:t>
            </w:r>
            <w:r w:rsidR="00840B9F">
              <w:rPr>
                <w:rFonts w:ascii="Times New Roman" w:eastAsia="Times New Roman" w:hAnsi="Times New Roman" w:cs="Times New Roman"/>
                <w:color w:val="000000"/>
                <w:sz w:val="26"/>
                <w:szCs w:val="26"/>
              </w:rPr>
              <w:t xml:space="preserve">y qua Công ty tài chính Kim Lân. </w:t>
            </w:r>
            <w:r w:rsidR="000E1D5F">
              <w:rPr>
                <w:rFonts w:ascii="Times New Roman" w:eastAsia="Times New Roman" w:hAnsi="Times New Roman" w:cs="Times New Roman"/>
                <w:color w:val="000000"/>
                <w:sz w:val="26"/>
                <w:szCs w:val="26"/>
              </w:rPr>
              <w:t xml:space="preserve">Cho vay tối đa 10 năm. </w:t>
            </w:r>
            <w:r w:rsidR="00840B9F">
              <w:rPr>
                <w:rFonts w:ascii="Times New Roman" w:eastAsia="Times New Roman" w:hAnsi="Times New Roman" w:cs="Times New Roman"/>
                <w:color w:val="000000"/>
                <w:sz w:val="26"/>
                <w:szCs w:val="26"/>
              </w:rPr>
              <w:t>Nếu</w:t>
            </w:r>
            <w:r>
              <w:rPr>
                <w:rFonts w:ascii="Times New Roman" w:eastAsia="Times New Roman" w:hAnsi="Times New Roman" w:cs="Times New Roman"/>
                <w:color w:val="000000"/>
                <w:sz w:val="26"/>
                <w:szCs w:val="26"/>
              </w:rPr>
              <w:t xml:space="preserve"> vay 70% </w:t>
            </w:r>
            <w:r w:rsidR="000E1D5F">
              <w:rPr>
                <w:rFonts w:ascii="Times New Roman" w:eastAsia="Times New Roman" w:hAnsi="Times New Roman" w:cs="Times New Roman"/>
                <w:color w:val="000000"/>
                <w:sz w:val="26"/>
                <w:szCs w:val="26"/>
              </w:rPr>
              <w:t xml:space="preserve">thì </w:t>
            </w:r>
            <w:r>
              <w:rPr>
                <w:rFonts w:ascii="Times New Roman" w:eastAsia="Times New Roman" w:hAnsi="Times New Roman" w:cs="Times New Roman"/>
                <w:color w:val="000000"/>
                <w:sz w:val="26"/>
                <w:szCs w:val="26"/>
              </w:rPr>
              <w:t>l</w:t>
            </w:r>
            <w:r w:rsidR="000E1D5F">
              <w:rPr>
                <w:rFonts w:ascii="Times New Roman" w:eastAsia="Times New Roman" w:hAnsi="Times New Roman" w:cs="Times New Roman"/>
                <w:color w:val="000000"/>
                <w:sz w:val="26"/>
                <w:szCs w:val="26"/>
              </w:rPr>
              <w:t xml:space="preserve">ãi suất </w:t>
            </w:r>
            <w:r>
              <w:rPr>
                <w:rFonts w:ascii="Times New Roman" w:eastAsia="Times New Roman" w:hAnsi="Times New Roman" w:cs="Times New Roman"/>
                <w:color w:val="000000"/>
                <w:sz w:val="26"/>
                <w:szCs w:val="26"/>
              </w:rPr>
              <w:t>0% trong 18 tháng (</w:t>
            </w:r>
            <w:r w:rsidR="00BD2E88">
              <w:rPr>
                <w:rFonts w:ascii="Times New Roman" w:eastAsia="Times New Roman" w:hAnsi="Times New Roman" w:cs="Times New Roman"/>
                <w:color w:val="000000"/>
                <w:sz w:val="26"/>
                <w:szCs w:val="26"/>
              </w:rPr>
              <w:t xml:space="preserve">không </w:t>
            </w:r>
            <w:r w:rsidR="00CB7BE8">
              <w:rPr>
                <w:rFonts w:ascii="Times New Roman" w:eastAsia="Times New Roman" w:hAnsi="Times New Roman" w:cs="Times New Roman"/>
                <w:color w:val="000000"/>
                <w:sz w:val="26"/>
                <w:szCs w:val="26"/>
              </w:rPr>
              <w:t xml:space="preserve">ân hạn gốc); nếu khách vay 50% thì ân hạn gốc </w:t>
            </w:r>
            <w:r w:rsidR="008E79CA">
              <w:rPr>
                <w:rFonts w:ascii="Times New Roman" w:eastAsia="Times New Roman" w:hAnsi="Times New Roman" w:cs="Times New Roman"/>
                <w:color w:val="000000"/>
                <w:sz w:val="26"/>
                <w:szCs w:val="26"/>
              </w:rPr>
              <w:t>và ls 0%</w:t>
            </w:r>
            <w:r w:rsidR="00CB7BE8">
              <w:rPr>
                <w:rFonts w:ascii="Times New Roman" w:eastAsia="Times New Roman" w:hAnsi="Times New Roman" w:cs="Times New Roman"/>
                <w:color w:val="000000"/>
                <w:sz w:val="26"/>
                <w:szCs w:val="26"/>
              </w:rPr>
              <w:t xml:space="preserve"> trong 18 tháng.</w:t>
            </w:r>
          </w:p>
        </w:tc>
      </w:tr>
      <w:tr w:rsidR="007F055C" w:rsidRPr="00FE2D78" w:rsidTr="00B33DD3">
        <w:trPr>
          <w:trHeight w:val="1160"/>
        </w:trPr>
        <w:tc>
          <w:tcPr>
            <w:tcW w:w="72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7F055C" w:rsidRPr="00465D1D" w:rsidRDefault="004F6AFB" w:rsidP="007F055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32</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55C" w:rsidRPr="00465D1D" w:rsidRDefault="007F055C" w:rsidP="007F055C">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Khách hàng vay bao nhiêu % thì phải chứng minh thu nhập?</w:t>
            </w:r>
          </w:p>
        </w:tc>
        <w:tc>
          <w:tcPr>
            <w:tcW w:w="110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055C" w:rsidRPr="001B77C3" w:rsidRDefault="007F055C" w:rsidP="00477863">
            <w:pPr>
              <w:spacing w:after="0" w:line="240" w:lineRule="auto"/>
              <w:rPr>
                <w:rFonts w:ascii="Times New Roman" w:eastAsia="Times New Roman" w:hAnsi="Times New Roman" w:cs="Times New Roman"/>
                <w:color w:val="000000"/>
                <w:sz w:val="26"/>
                <w:szCs w:val="26"/>
              </w:rPr>
            </w:pPr>
            <w:r w:rsidRPr="00465D1D">
              <w:rPr>
                <w:rFonts w:ascii="Times New Roman" w:eastAsia="Times New Roman" w:hAnsi="Times New Roman" w:cs="Times New Roman"/>
                <w:color w:val="000000"/>
                <w:sz w:val="26"/>
                <w:szCs w:val="26"/>
              </w:rPr>
              <w:t xml:space="preserve">Các khách hàng đều phải kê khai, chứng minh thu nhập cho ngân hàng. Tài chính càng tốt thì tỷ lệ được vay càng cao, nhưng không quá </w:t>
            </w:r>
            <w:r w:rsidR="00477863">
              <w:rPr>
                <w:rFonts w:ascii="Times New Roman" w:eastAsia="Times New Roman" w:hAnsi="Times New Roman" w:cs="Times New Roman"/>
                <w:color w:val="000000"/>
                <w:sz w:val="26"/>
                <w:szCs w:val="26"/>
              </w:rPr>
              <w:t>7</w:t>
            </w:r>
            <w:r w:rsidRPr="00465D1D">
              <w:rPr>
                <w:rFonts w:ascii="Times New Roman" w:eastAsia="Times New Roman" w:hAnsi="Times New Roman" w:cs="Times New Roman"/>
                <w:color w:val="000000"/>
                <w:sz w:val="26"/>
                <w:szCs w:val="26"/>
              </w:rPr>
              <w:t>0% giá trị biệt thự.</w:t>
            </w:r>
            <w:r w:rsidRPr="001B77C3">
              <w:rPr>
                <w:rFonts w:ascii="Times New Roman" w:eastAsia="Times New Roman" w:hAnsi="Times New Roman" w:cs="Times New Roman"/>
                <w:color w:val="000000"/>
                <w:sz w:val="26"/>
                <w:szCs w:val="26"/>
              </w:rPr>
              <w:t> </w:t>
            </w:r>
          </w:p>
        </w:tc>
      </w:tr>
      <w:tr w:rsidR="00156925" w:rsidRPr="00FE2D78" w:rsidTr="00B33DD3">
        <w:trPr>
          <w:trHeight w:hRule="exact" w:val="415"/>
        </w:trPr>
        <w:tc>
          <w:tcPr>
            <w:tcW w:w="720" w:type="dxa"/>
            <w:tcBorders>
              <w:top w:val="single" w:sz="4" w:space="0" w:color="auto"/>
              <w:left w:val="single" w:sz="4" w:space="0" w:color="000000"/>
              <w:bottom w:val="single" w:sz="4" w:space="0" w:color="auto"/>
              <w:right w:val="single" w:sz="4" w:space="0" w:color="auto"/>
            </w:tcBorders>
            <w:shd w:val="solid" w:color="F4B083" w:themeColor="accent2" w:themeTint="99" w:fill="auto"/>
          </w:tcPr>
          <w:p w:rsidR="00156925" w:rsidRPr="00156925" w:rsidRDefault="00156925" w:rsidP="00156925">
            <w:pPr>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V</w:t>
            </w:r>
            <w:r w:rsidRPr="00156925">
              <w:rPr>
                <w:rFonts w:ascii="Times New Roman" w:eastAsia="Times New Roman" w:hAnsi="Times New Roman" w:cs="Times New Roman"/>
                <w:b/>
                <w:bCs/>
                <w:color w:val="000000"/>
                <w:sz w:val="26"/>
                <w:szCs w:val="26"/>
              </w:rPr>
              <w:t>I</w:t>
            </w:r>
          </w:p>
        </w:tc>
        <w:tc>
          <w:tcPr>
            <w:tcW w:w="14697" w:type="dxa"/>
            <w:gridSpan w:val="2"/>
            <w:tcBorders>
              <w:top w:val="single" w:sz="4" w:space="0" w:color="auto"/>
              <w:left w:val="single" w:sz="4" w:space="0" w:color="auto"/>
              <w:bottom w:val="single" w:sz="4" w:space="0" w:color="auto"/>
              <w:right w:val="single" w:sz="4" w:space="0" w:color="000000"/>
            </w:tcBorders>
            <w:shd w:val="solid" w:color="F4B083" w:themeColor="accent2" w:themeTint="99" w:fill="auto"/>
          </w:tcPr>
          <w:p w:rsidR="00156925" w:rsidRPr="00156925" w:rsidRDefault="00156925" w:rsidP="00156925">
            <w:pPr>
              <w:rPr>
                <w:rFonts w:ascii="Times New Roman" w:eastAsia="Times New Roman" w:hAnsi="Times New Roman" w:cs="Times New Roman"/>
                <w:b/>
                <w:bCs/>
                <w:color w:val="000000"/>
                <w:sz w:val="26"/>
                <w:szCs w:val="26"/>
              </w:rPr>
            </w:pPr>
            <w:r w:rsidRPr="00156925">
              <w:rPr>
                <w:rFonts w:ascii="Times New Roman" w:eastAsia="Times New Roman" w:hAnsi="Times New Roman" w:cs="Times New Roman"/>
                <w:b/>
                <w:bCs/>
                <w:color w:val="000000"/>
                <w:sz w:val="26"/>
                <w:szCs w:val="26"/>
              </w:rPr>
              <w:t>CÁC NỘI DUNG LIÊN QUAN ĐẾN PHÁP LÝ DỰ ÁN</w:t>
            </w:r>
          </w:p>
          <w:p w:rsidR="00156925" w:rsidRPr="00156925" w:rsidRDefault="00156925" w:rsidP="00156925">
            <w:pPr>
              <w:jc w:val="center"/>
              <w:rPr>
                <w:rFonts w:ascii="Times New Roman" w:eastAsia="Times New Roman" w:hAnsi="Times New Roman" w:cs="Times New Roman"/>
                <w:b/>
                <w:bCs/>
                <w:color w:val="000000"/>
                <w:sz w:val="26"/>
                <w:szCs w:val="26"/>
              </w:rPr>
            </w:pPr>
            <w:r w:rsidRPr="00156925">
              <w:rPr>
                <w:rFonts w:ascii="Times New Roman" w:eastAsia="Times New Roman" w:hAnsi="Times New Roman" w:cs="Times New Roman"/>
                <w:b/>
                <w:bCs/>
                <w:color w:val="000000"/>
                <w:sz w:val="26"/>
                <w:szCs w:val="26"/>
              </w:rPr>
              <w:t>I</w:t>
            </w:r>
          </w:p>
        </w:tc>
      </w:tr>
      <w:tr w:rsidR="00453085" w:rsidRPr="00FE2D78" w:rsidTr="00AB62B9">
        <w:trPr>
          <w:trHeight w:val="1020"/>
        </w:trPr>
        <w:tc>
          <w:tcPr>
            <w:tcW w:w="720" w:type="dxa"/>
            <w:tcBorders>
              <w:top w:val="single" w:sz="4" w:space="0" w:color="auto"/>
              <w:left w:val="single" w:sz="4" w:space="0" w:color="000000"/>
              <w:bottom w:val="single" w:sz="4" w:space="0" w:color="auto"/>
              <w:right w:val="single" w:sz="4" w:space="0" w:color="auto"/>
            </w:tcBorders>
            <w:shd w:val="clear" w:color="auto" w:fill="auto"/>
          </w:tcPr>
          <w:p w:rsidR="00453085" w:rsidRPr="00453085" w:rsidRDefault="001C1CE1" w:rsidP="00453085">
            <w:pPr>
              <w:jc w:val="center"/>
              <w:rPr>
                <w:rFonts w:ascii="Times New Roman" w:hAnsi="Times New Roman" w:cs="Times New Roman"/>
                <w:sz w:val="26"/>
                <w:szCs w:val="26"/>
              </w:rPr>
            </w:pPr>
            <w:r>
              <w:rPr>
                <w:rFonts w:ascii="Times New Roman" w:hAnsi="Times New Roman" w:cs="Times New Roman"/>
                <w:sz w:val="26"/>
                <w:szCs w:val="26"/>
              </w:rPr>
              <w:t>33</w:t>
            </w: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color w:val="222222"/>
                <w:sz w:val="26"/>
                <w:szCs w:val="26"/>
                <w:shd w:val="clear" w:color="auto" w:fill="FFFFFF"/>
              </w:rPr>
              <w:t xml:space="preserve">Hồ sơ thiết kế cơ sở và thiết kế bản vẽ thi công được thẩm định. </w:t>
            </w:r>
          </w:p>
        </w:tc>
        <w:tc>
          <w:tcPr>
            <w:tcW w:w="11056" w:type="dxa"/>
            <w:tcBorders>
              <w:top w:val="single" w:sz="4" w:space="0" w:color="auto"/>
              <w:left w:val="single" w:sz="4" w:space="0" w:color="auto"/>
              <w:bottom w:val="single" w:sz="4" w:space="0" w:color="auto"/>
              <w:right w:val="single" w:sz="4" w:space="0" w:color="000000"/>
            </w:tcBorders>
            <w:shd w:val="clear" w:color="auto" w:fill="auto"/>
          </w:tcPr>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sz w:val="26"/>
                <w:szCs w:val="26"/>
              </w:rPr>
              <w:t xml:space="preserve">Dự án Vườn Vua Resort &amp; Villas là dự án được triển khai thiết kế 2 bước, thiết kế 1/500 và thiêt kế bản vẽ thi công, không cần thiết kế cơ sở </w:t>
            </w:r>
          </w:p>
        </w:tc>
      </w:tr>
      <w:tr w:rsidR="00453085" w:rsidRPr="00FE2D78" w:rsidTr="00AB62B9">
        <w:trPr>
          <w:trHeight w:val="1020"/>
        </w:trPr>
        <w:tc>
          <w:tcPr>
            <w:tcW w:w="720" w:type="dxa"/>
            <w:tcBorders>
              <w:top w:val="single" w:sz="4" w:space="0" w:color="auto"/>
              <w:left w:val="single" w:sz="4" w:space="0" w:color="000000"/>
              <w:bottom w:val="single" w:sz="4" w:space="0" w:color="auto"/>
              <w:right w:val="single" w:sz="4" w:space="0" w:color="auto"/>
            </w:tcBorders>
            <w:shd w:val="clear" w:color="auto" w:fill="auto"/>
          </w:tcPr>
          <w:p w:rsidR="00453085" w:rsidRPr="00453085" w:rsidRDefault="001C1CE1" w:rsidP="00453085">
            <w:pPr>
              <w:jc w:val="center"/>
              <w:rPr>
                <w:rFonts w:ascii="Times New Roman" w:hAnsi="Times New Roman" w:cs="Times New Roman"/>
                <w:sz w:val="26"/>
                <w:szCs w:val="26"/>
              </w:rPr>
            </w:pPr>
            <w:r>
              <w:rPr>
                <w:rFonts w:ascii="Times New Roman" w:hAnsi="Times New Roman" w:cs="Times New Roman"/>
                <w:sz w:val="26"/>
                <w:szCs w:val="26"/>
              </w:rPr>
              <w:t>34</w:t>
            </w: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sz w:val="26"/>
                <w:szCs w:val="26"/>
              </w:rPr>
              <w:t>Bản vẽ hoàn công đóng dấu trên hồ sơ thiết kế được thẩm định</w:t>
            </w:r>
          </w:p>
        </w:tc>
        <w:tc>
          <w:tcPr>
            <w:tcW w:w="11056" w:type="dxa"/>
            <w:tcBorders>
              <w:top w:val="single" w:sz="4" w:space="0" w:color="auto"/>
              <w:left w:val="single" w:sz="4" w:space="0" w:color="auto"/>
              <w:bottom w:val="single" w:sz="4" w:space="0" w:color="auto"/>
              <w:right w:val="single" w:sz="4" w:space="0" w:color="000000"/>
            </w:tcBorders>
            <w:shd w:val="clear" w:color="auto" w:fill="auto"/>
          </w:tcPr>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sz w:val="26"/>
                <w:szCs w:val="26"/>
              </w:rPr>
              <w:t>Khi nào công trình xong thì sẽ có hồ sơ hoàn công</w:t>
            </w:r>
          </w:p>
        </w:tc>
      </w:tr>
      <w:tr w:rsidR="00453085" w:rsidRPr="00FE2D78" w:rsidTr="00AB62B9">
        <w:trPr>
          <w:trHeight w:val="1020"/>
        </w:trPr>
        <w:tc>
          <w:tcPr>
            <w:tcW w:w="720" w:type="dxa"/>
            <w:tcBorders>
              <w:top w:val="single" w:sz="4" w:space="0" w:color="auto"/>
              <w:left w:val="single" w:sz="4" w:space="0" w:color="000000"/>
              <w:bottom w:val="single" w:sz="4" w:space="0" w:color="auto"/>
              <w:right w:val="single" w:sz="4" w:space="0" w:color="auto"/>
            </w:tcBorders>
            <w:shd w:val="clear" w:color="auto" w:fill="auto"/>
          </w:tcPr>
          <w:p w:rsidR="00453085" w:rsidRPr="00453085" w:rsidRDefault="00453085" w:rsidP="00453085">
            <w:pPr>
              <w:jc w:val="center"/>
              <w:rPr>
                <w:rFonts w:ascii="Times New Roman" w:hAnsi="Times New Roman" w:cs="Times New Roman"/>
                <w:sz w:val="26"/>
                <w:szCs w:val="26"/>
              </w:rPr>
            </w:pPr>
            <w:r w:rsidRPr="00453085">
              <w:rPr>
                <w:rFonts w:ascii="Times New Roman" w:hAnsi="Times New Roman" w:cs="Times New Roman"/>
                <w:sz w:val="26"/>
                <w:szCs w:val="26"/>
              </w:rPr>
              <w:t>3</w:t>
            </w:r>
            <w:r w:rsidR="001C1CE1">
              <w:rPr>
                <w:rFonts w:ascii="Times New Roman" w:hAnsi="Times New Roman" w:cs="Times New Roman"/>
                <w:sz w:val="26"/>
                <w:szCs w:val="26"/>
              </w:rPr>
              <w:t>5</w:t>
            </w: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sz w:val="26"/>
                <w:szCs w:val="26"/>
              </w:rPr>
              <w:t>Biên bản nghiệm thu hạ tầng và kiến trúc (nhà ở)</w:t>
            </w:r>
          </w:p>
        </w:tc>
        <w:tc>
          <w:tcPr>
            <w:tcW w:w="11056" w:type="dxa"/>
            <w:tcBorders>
              <w:top w:val="single" w:sz="4" w:space="0" w:color="auto"/>
              <w:left w:val="single" w:sz="4" w:space="0" w:color="auto"/>
              <w:bottom w:val="single" w:sz="4" w:space="0" w:color="auto"/>
              <w:right w:val="single" w:sz="4" w:space="0" w:color="000000"/>
            </w:tcBorders>
            <w:shd w:val="clear" w:color="auto" w:fill="auto"/>
          </w:tcPr>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sz w:val="26"/>
                <w:szCs w:val="26"/>
              </w:rPr>
              <w:t xml:space="preserve">Đã bàn giao cho sàn (trong bộ Hồ sơ bàn giao, sales cần tham khảo vui lòng gặp QLSP) </w:t>
            </w:r>
          </w:p>
        </w:tc>
      </w:tr>
      <w:tr w:rsidR="00453085" w:rsidRPr="00FE2D78" w:rsidTr="00AB62B9">
        <w:trPr>
          <w:trHeight w:val="1020"/>
        </w:trPr>
        <w:tc>
          <w:tcPr>
            <w:tcW w:w="720" w:type="dxa"/>
            <w:tcBorders>
              <w:top w:val="single" w:sz="4" w:space="0" w:color="auto"/>
              <w:left w:val="single" w:sz="4" w:space="0" w:color="000000"/>
              <w:bottom w:val="single" w:sz="4" w:space="0" w:color="auto"/>
              <w:right w:val="single" w:sz="4" w:space="0" w:color="auto"/>
            </w:tcBorders>
            <w:shd w:val="clear" w:color="auto" w:fill="auto"/>
          </w:tcPr>
          <w:p w:rsidR="00453085" w:rsidRPr="00453085" w:rsidRDefault="001C1CE1" w:rsidP="00453085">
            <w:pPr>
              <w:jc w:val="center"/>
              <w:rPr>
                <w:rFonts w:ascii="Times New Roman" w:hAnsi="Times New Roman" w:cs="Times New Roman"/>
                <w:sz w:val="26"/>
                <w:szCs w:val="26"/>
              </w:rPr>
            </w:pPr>
            <w:r>
              <w:rPr>
                <w:rFonts w:ascii="Times New Roman" w:hAnsi="Times New Roman" w:cs="Times New Roman"/>
                <w:sz w:val="26"/>
                <w:szCs w:val="26"/>
              </w:rPr>
              <w:t>36</w:t>
            </w: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sz w:val="26"/>
                <w:szCs w:val="26"/>
              </w:rPr>
              <w:t>Thông báo mở bán</w:t>
            </w:r>
          </w:p>
        </w:tc>
        <w:tc>
          <w:tcPr>
            <w:tcW w:w="11056" w:type="dxa"/>
            <w:tcBorders>
              <w:top w:val="single" w:sz="4" w:space="0" w:color="auto"/>
              <w:left w:val="single" w:sz="4" w:space="0" w:color="auto"/>
              <w:bottom w:val="single" w:sz="4" w:space="0" w:color="auto"/>
              <w:right w:val="single" w:sz="4" w:space="0" w:color="000000"/>
            </w:tcBorders>
            <w:shd w:val="clear" w:color="auto" w:fill="auto"/>
          </w:tcPr>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sz w:val="26"/>
                <w:szCs w:val="26"/>
              </w:rPr>
              <w:t>Theo quy định các dự án được miễn GPXD không phải thông báo mở bán. Tuy nhiên, CĐT vẫn đã gửi Thông báo mở bán lên Sở Xây dựng.</w:t>
            </w:r>
          </w:p>
        </w:tc>
      </w:tr>
      <w:tr w:rsidR="00453085" w:rsidRPr="00FE2D78" w:rsidTr="00AB62B9">
        <w:trPr>
          <w:trHeight w:val="1020"/>
        </w:trPr>
        <w:tc>
          <w:tcPr>
            <w:tcW w:w="720" w:type="dxa"/>
            <w:tcBorders>
              <w:top w:val="single" w:sz="4" w:space="0" w:color="auto"/>
              <w:left w:val="single" w:sz="4" w:space="0" w:color="000000"/>
              <w:bottom w:val="single" w:sz="4" w:space="0" w:color="auto"/>
              <w:right w:val="single" w:sz="4" w:space="0" w:color="auto"/>
            </w:tcBorders>
            <w:shd w:val="clear" w:color="auto" w:fill="auto"/>
          </w:tcPr>
          <w:p w:rsidR="00453085" w:rsidRPr="00453085" w:rsidRDefault="001C1CE1" w:rsidP="00453085">
            <w:pPr>
              <w:jc w:val="center"/>
              <w:rPr>
                <w:rFonts w:ascii="Times New Roman" w:hAnsi="Times New Roman" w:cs="Times New Roman"/>
                <w:sz w:val="26"/>
                <w:szCs w:val="26"/>
              </w:rPr>
            </w:pPr>
            <w:r>
              <w:rPr>
                <w:rFonts w:ascii="Times New Roman" w:hAnsi="Times New Roman" w:cs="Times New Roman"/>
                <w:sz w:val="26"/>
                <w:szCs w:val="26"/>
              </w:rPr>
              <w:t>37</w:t>
            </w: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sz w:val="26"/>
                <w:szCs w:val="26"/>
              </w:rPr>
              <w:t>Xác nhận nghĩa vụ tài chính, đóng thuế</w:t>
            </w:r>
          </w:p>
        </w:tc>
        <w:tc>
          <w:tcPr>
            <w:tcW w:w="11056" w:type="dxa"/>
            <w:tcBorders>
              <w:top w:val="single" w:sz="4" w:space="0" w:color="auto"/>
              <w:left w:val="single" w:sz="4" w:space="0" w:color="auto"/>
              <w:bottom w:val="single" w:sz="4" w:space="0" w:color="auto"/>
              <w:right w:val="single" w:sz="4" w:space="0" w:color="000000"/>
            </w:tcBorders>
            <w:shd w:val="clear" w:color="auto" w:fill="auto"/>
          </w:tcPr>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sz w:val="26"/>
                <w:szCs w:val="26"/>
              </w:rPr>
              <w:t xml:space="preserve">Đã nộp tiền sử dụng đất, tham khảo Phiếu nộp tiền </w:t>
            </w:r>
            <w:r w:rsidRPr="00453085">
              <w:rPr>
                <w:rFonts w:ascii="Times New Roman" w:hAnsi="Times New Roman" w:cs="Times New Roman"/>
                <w:sz w:val="26"/>
                <w:szCs w:val="26"/>
              </w:rPr>
              <w:object w:dxaOrig="1550" w:dyaOrig="991" w14:anchorId="17362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Link" ProgID="FoxitReader.Document" ShapeID="_x0000_i1025" DrawAspect="Icon" r:id="rId6" UpdateMode="Always">
                  <o:LinkType>EnhancedMetaFile</o:LinkType>
                  <o:LockedField>false</o:LockedField>
                  <o:FieldCodes>\f 0 \* MERGEFORMAT</o:FieldCodes>
                </o:OLEObject>
              </w:object>
            </w:r>
          </w:p>
        </w:tc>
      </w:tr>
      <w:tr w:rsidR="00453085" w:rsidRPr="00FE2D78" w:rsidTr="00AB62B9">
        <w:trPr>
          <w:trHeight w:val="1020"/>
        </w:trPr>
        <w:tc>
          <w:tcPr>
            <w:tcW w:w="720" w:type="dxa"/>
            <w:tcBorders>
              <w:top w:val="single" w:sz="4" w:space="0" w:color="auto"/>
              <w:left w:val="single" w:sz="4" w:space="0" w:color="000000"/>
              <w:bottom w:val="single" w:sz="4" w:space="0" w:color="auto"/>
              <w:right w:val="single" w:sz="4" w:space="0" w:color="auto"/>
            </w:tcBorders>
            <w:shd w:val="clear" w:color="auto" w:fill="auto"/>
          </w:tcPr>
          <w:p w:rsidR="00453085" w:rsidRPr="00453085" w:rsidRDefault="001C1CE1" w:rsidP="00453085">
            <w:pPr>
              <w:jc w:val="center"/>
              <w:rPr>
                <w:rFonts w:ascii="Times New Roman" w:hAnsi="Times New Roman" w:cs="Times New Roman"/>
                <w:sz w:val="26"/>
                <w:szCs w:val="26"/>
              </w:rPr>
            </w:pPr>
            <w:r>
              <w:rPr>
                <w:rFonts w:ascii="Times New Roman" w:hAnsi="Times New Roman" w:cs="Times New Roman"/>
                <w:sz w:val="26"/>
                <w:szCs w:val="26"/>
              </w:rPr>
              <w:t>38</w:t>
            </w: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sz w:val="26"/>
                <w:szCs w:val="26"/>
              </w:rPr>
              <w:t>Những căn đã hoàn thiện bàn giao đã có sổ chưa (nếu có thì chụp ảnh phôi sổ)</w:t>
            </w:r>
          </w:p>
        </w:tc>
        <w:tc>
          <w:tcPr>
            <w:tcW w:w="11056" w:type="dxa"/>
            <w:tcBorders>
              <w:top w:val="single" w:sz="4" w:space="0" w:color="auto"/>
              <w:left w:val="single" w:sz="4" w:space="0" w:color="auto"/>
              <w:bottom w:val="single" w:sz="4" w:space="0" w:color="auto"/>
              <w:right w:val="single" w:sz="4" w:space="0" w:color="000000"/>
            </w:tcBorders>
            <w:shd w:val="clear" w:color="auto" w:fill="auto"/>
          </w:tcPr>
          <w:p w:rsidR="00453085" w:rsidRPr="00453085" w:rsidRDefault="00453085" w:rsidP="00453085">
            <w:pPr>
              <w:spacing w:after="240"/>
              <w:jc w:val="both"/>
              <w:rPr>
                <w:rFonts w:ascii="Times New Roman" w:hAnsi="Times New Roman" w:cs="Times New Roman"/>
                <w:sz w:val="26"/>
                <w:szCs w:val="26"/>
                <w:lang w:val="vi-VN" w:bidi="en-US"/>
              </w:rPr>
            </w:pPr>
            <w:r w:rsidRPr="00453085">
              <w:rPr>
                <w:rFonts w:ascii="Times New Roman" w:hAnsi="Times New Roman" w:cs="Times New Roman"/>
                <w:sz w:val="26"/>
                <w:szCs w:val="26"/>
              </w:rPr>
              <w:t xml:space="preserve">Sổ tổng cả dự án đã có. </w:t>
            </w:r>
            <w:r w:rsidRPr="00453085">
              <w:rPr>
                <w:rFonts w:ascii="Times New Roman" w:hAnsi="Times New Roman" w:cs="Times New Roman"/>
                <w:sz w:val="26"/>
                <w:szCs w:val="26"/>
              </w:rPr>
              <w:object w:dxaOrig="1550" w:dyaOrig="991" w14:anchorId="2FDC29C3">
                <v:shape id="_x0000_i1026" type="#_x0000_t75" style="width:77.25pt;height:49.5pt" o:ole="">
                  <v:imagedata r:id="rId7" o:title=""/>
                </v:shape>
                <o:OLEObject Type="Link" ProgID="FoxitReader.Document" ShapeID="_x0000_i1026" DrawAspect="Icon" r:id="rId8" UpdateMode="Always">
                  <o:LinkType>EnhancedMetaFile</o:LinkType>
                  <o:LockedField>false</o:LockedField>
                  <o:FieldCodes>\f 0 \* MERGEFORMAT</o:FieldCodes>
                </o:OLEObject>
              </w:object>
            </w:r>
            <w:r w:rsidRPr="00453085">
              <w:rPr>
                <w:rFonts w:ascii="Times New Roman" w:hAnsi="Times New Roman" w:cs="Times New Roman"/>
                <w:sz w:val="26"/>
                <w:szCs w:val="26"/>
              </w:rPr>
              <w:t xml:space="preserve"> , việc tách sổ cho khách hàng sẽ thực hiện sau. CĐT cam kết ra sổ đỏ cho khách hàng trong vòng tối đa 12 tháng kể từ </w:t>
            </w:r>
            <w:r w:rsidRPr="00453085">
              <w:rPr>
                <w:rFonts w:ascii="Times New Roman" w:hAnsi="Times New Roman" w:cs="Times New Roman"/>
                <w:sz w:val="26"/>
                <w:szCs w:val="26"/>
                <w:highlight w:val="yellow"/>
              </w:rPr>
              <w:t>ngày</w:t>
            </w:r>
            <w:r w:rsidRPr="00453085">
              <w:rPr>
                <w:rFonts w:ascii="Times New Roman" w:hAnsi="Times New Roman" w:cs="Times New Roman"/>
                <w:sz w:val="26"/>
                <w:szCs w:val="26"/>
                <w:highlight w:val="yellow"/>
                <w:lang w:bidi="en-US"/>
              </w:rPr>
              <w:t xml:space="preserve"> </w:t>
            </w:r>
            <w:r w:rsidRPr="00453085">
              <w:rPr>
                <w:rFonts w:ascii="Times New Roman" w:hAnsi="Times New Roman" w:cs="Times New Roman"/>
                <w:sz w:val="26"/>
                <w:szCs w:val="26"/>
                <w:highlight w:val="yellow"/>
                <w:lang w:val="vi-VN" w:bidi="en-US"/>
              </w:rPr>
              <w:t xml:space="preserve">kể từ ngày Bàn Giao Thực Tế và Bên CĐT nhận được đầy đủ, đúng hạn hồ sơ xin cấp Giấy Chứng Nhận từ </w:t>
            </w:r>
            <w:r w:rsidRPr="00453085">
              <w:rPr>
                <w:rFonts w:ascii="Times New Roman" w:hAnsi="Times New Roman" w:cs="Times New Roman"/>
                <w:sz w:val="26"/>
                <w:szCs w:val="26"/>
                <w:highlight w:val="yellow"/>
                <w:lang w:bidi="en-US"/>
              </w:rPr>
              <w:t>khách hàng</w:t>
            </w:r>
            <w:r w:rsidRPr="00453085">
              <w:rPr>
                <w:rFonts w:ascii="Times New Roman" w:hAnsi="Times New Roman" w:cs="Times New Roman"/>
                <w:sz w:val="26"/>
                <w:szCs w:val="26"/>
                <w:highlight w:val="yellow"/>
                <w:lang w:val="vi-VN" w:bidi="en-US"/>
              </w:rPr>
              <w:t xml:space="preserve"> theo văn bản thông báo của CĐT</w:t>
            </w:r>
            <w:r w:rsidRPr="00453085">
              <w:rPr>
                <w:rFonts w:ascii="Times New Roman" w:hAnsi="Times New Roman" w:cs="Times New Roman"/>
                <w:sz w:val="26"/>
                <w:szCs w:val="26"/>
                <w:highlight w:val="yellow"/>
                <w:lang w:bidi="en-US"/>
              </w:rPr>
              <w:t xml:space="preserve"> (tham khảo Điều 6.2 các Hơp đồng Mua bán)</w:t>
            </w:r>
            <w:r w:rsidRPr="00453085">
              <w:rPr>
                <w:rFonts w:ascii="Times New Roman" w:hAnsi="Times New Roman" w:cs="Times New Roman"/>
                <w:sz w:val="26"/>
                <w:szCs w:val="26"/>
                <w:highlight w:val="yellow"/>
                <w:lang w:val="vi-VN" w:bidi="en-US"/>
              </w:rPr>
              <w:t>.</w:t>
            </w:r>
          </w:p>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sz w:val="26"/>
                <w:szCs w:val="26"/>
              </w:rPr>
              <w:t xml:space="preserve"> Nếu quá thời gian này thì CĐT sẽ hoàn trả lại tiền cho khách và  cộng với </w:t>
            </w:r>
            <w:r w:rsidRPr="00453085">
              <w:rPr>
                <w:rFonts w:ascii="Times New Roman" w:hAnsi="Times New Roman" w:cs="Times New Roman"/>
                <w:sz w:val="26"/>
                <w:szCs w:val="26"/>
                <w:lang w:val="vi-VN"/>
              </w:rPr>
              <w:t>tiền lãi tính trên số tiền gốc theo mức lãi suất trần lãi suất huy động gửi tiền tiết kiệm do Ngân hàng Nhà nước công bố tại thời điểm đó, tương ứng vớ</w:t>
            </w:r>
            <w:r w:rsidRPr="00453085">
              <w:rPr>
                <w:rFonts w:ascii="Times New Roman" w:hAnsi="Times New Roman" w:cs="Times New Roman"/>
                <w:sz w:val="26"/>
                <w:szCs w:val="26"/>
              </w:rPr>
              <w:t>i</w:t>
            </w:r>
            <w:r w:rsidRPr="00453085">
              <w:rPr>
                <w:rFonts w:ascii="Times New Roman" w:hAnsi="Times New Roman" w:cs="Times New Roman"/>
                <w:sz w:val="26"/>
                <w:szCs w:val="26"/>
                <w:lang w:val="vi-VN"/>
              </w:rPr>
              <w:t xml:space="preserve"> thời hạn tính lãi suất</w:t>
            </w:r>
            <w:r w:rsidRPr="00453085">
              <w:rPr>
                <w:rFonts w:ascii="Times New Roman" w:hAnsi="Times New Roman" w:cs="Times New Roman"/>
                <w:sz w:val="26"/>
                <w:szCs w:val="26"/>
              </w:rPr>
              <w:t xml:space="preserve"> (tham khảo Điều 12.5 và 12.7 các Hợp đồng Mua bán).</w:t>
            </w:r>
          </w:p>
        </w:tc>
      </w:tr>
      <w:tr w:rsidR="00453085" w:rsidRPr="00FE2D78" w:rsidTr="00AB62B9">
        <w:trPr>
          <w:trHeight w:val="1020"/>
        </w:trPr>
        <w:tc>
          <w:tcPr>
            <w:tcW w:w="720" w:type="dxa"/>
            <w:tcBorders>
              <w:top w:val="single" w:sz="4" w:space="0" w:color="auto"/>
              <w:left w:val="single" w:sz="4" w:space="0" w:color="000000"/>
              <w:bottom w:val="single" w:sz="4" w:space="0" w:color="auto"/>
              <w:right w:val="single" w:sz="4" w:space="0" w:color="auto"/>
            </w:tcBorders>
            <w:shd w:val="clear" w:color="auto" w:fill="auto"/>
          </w:tcPr>
          <w:p w:rsidR="00453085" w:rsidRPr="00453085" w:rsidRDefault="001C1CE1" w:rsidP="00453085">
            <w:pPr>
              <w:jc w:val="center"/>
              <w:rPr>
                <w:rFonts w:ascii="Times New Roman" w:hAnsi="Times New Roman" w:cs="Times New Roman"/>
                <w:sz w:val="26"/>
                <w:szCs w:val="26"/>
              </w:rPr>
            </w:pPr>
            <w:r>
              <w:rPr>
                <w:rFonts w:ascii="Times New Roman" w:hAnsi="Times New Roman" w:cs="Times New Roman"/>
                <w:sz w:val="26"/>
                <w:szCs w:val="26"/>
              </w:rPr>
              <w:lastRenderedPageBreak/>
              <w:t>39</w:t>
            </w: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sz w:val="26"/>
                <w:szCs w:val="26"/>
              </w:rPr>
              <w:t>Thời điểm nào khách có sổ (đất và tài sản trên đất)</w:t>
            </w:r>
          </w:p>
        </w:tc>
        <w:tc>
          <w:tcPr>
            <w:tcW w:w="11056" w:type="dxa"/>
            <w:tcBorders>
              <w:top w:val="single" w:sz="4" w:space="0" w:color="auto"/>
              <w:left w:val="single" w:sz="4" w:space="0" w:color="auto"/>
              <w:bottom w:val="single" w:sz="4" w:space="0" w:color="auto"/>
              <w:right w:val="single" w:sz="4" w:space="0" w:color="000000"/>
            </w:tcBorders>
            <w:shd w:val="clear" w:color="auto" w:fill="auto"/>
          </w:tcPr>
          <w:p w:rsidR="00453085" w:rsidRPr="00453085" w:rsidRDefault="00453085" w:rsidP="00453085">
            <w:pPr>
              <w:spacing w:after="240"/>
              <w:jc w:val="both"/>
              <w:rPr>
                <w:rFonts w:ascii="Times New Roman" w:hAnsi="Times New Roman" w:cs="Times New Roman"/>
                <w:sz w:val="26"/>
                <w:szCs w:val="26"/>
                <w:lang w:val="vi-VN" w:bidi="en-US"/>
              </w:rPr>
            </w:pPr>
            <w:r w:rsidRPr="00453085">
              <w:rPr>
                <w:rFonts w:ascii="Times New Roman" w:hAnsi="Times New Roman" w:cs="Times New Roman"/>
                <w:sz w:val="26"/>
                <w:szCs w:val="26"/>
              </w:rPr>
              <w:t xml:space="preserve">Sổ tổng cả dự án đã có. </w:t>
            </w:r>
            <w:r w:rsidRPr="00453085">
              <w:rPr>
                <w:rFonts w:ascii="Times New Roman" w:hAnsi="Times New Roman" w:cs="Times New Roman"/>
                <w:sz w:val="26"/>
                <w:szCs w:val="26"/>
              </w:rPr>
              <w:object w:dxaOrig="1550" w:dyaOrig="991" w14:anchorId="009F181C">
                <v:shape id="_x0000_i1027" type="#_x0000_t75" style="width:77.25pt;height:49.5pt" o:ole="">
                  <v:imagedata r:id="rId7" o:title=""/>
                </v:shape>
                <o:OLEObject Type="Link" ProgID="FoxitReader.Document" ShapeID="_x0000_i1027" DrawAspect="Icon" r:id="rId9" UpdateMode="Always">
                  <o:LinkType>EnhancedMetaFile</o:LinkType>
                  <o:LockedField>false</o:LockedField>
                  <o:FieldCodes>\f 0 \* MERGEFORMAT</o:FieldCodes>
                </o:OLEObject>
              </w:object>
            </w:r>
            <w:r w:rsidRPr="00453085">
              <w:rPr>
                <w:rFonts w:ascii="Times New Roman" w:hAnsi="Times New Roman" w:cs="Times New Roman"/>
                <w:sz w:val="26"/>
                <w:szCs w:val="26"/>
              </w:rPr>
              <w:t xml:space="preserve"> Việc tách sổ cho khách hàng sẽ thực hiện sau. CĐT cam kết ra sổ đỏ cho khách hàng trong vòng tối đa 12 tháng kể từ </w:t>
            </w:r>
            <w:r w:rsidRPr="00453085">
              <w:rPr>
                <w:rFonts w:ascii="Times New Roman" w:hAnsi="Times New Roman" w:cs="Times New Roman"/>
                <w:sz w:val="26"/>
                <w:szCs w:val="26"/>
                <w:highlight w:val="yellow"/>
              </w:rPr>
              <w:t>ngày</w:t>
            </w:r>
            <w:r w:rsidRPr="00453085">
              <w:rPr>
                <w:rFonts w:ascii="Times New Roman" w:hAnsi="Times New Roman" w:cs="Times New Roman"/>
                <w:sz w:val="26"/>
                <w:szCs w:val="26"/>
                <w:highlight w:val="yellow"/>
                <w:lang w:bidi="en-US"/>
              </w:rPr>
              <w:t xml:space="preserve"> </w:t>
            </w:r>
            <w:r w:rsidRPr="00453085">
              <w:rPr>
                <w:rFonts w:ascii="Times New Roman" w:hAnsi="Times New Roman" w:cs="Times New Roman"/>
                <w:sz w:val="26"/>
                <w:szCs w:val="26"/>
                <w:highlight w:val="yellow"/>
                <w:lang w:val="vi-VN" w:bidi="en-US"/>
              </w:rPr>
              <w:t xml:space="preserve">kể từ ngày Bàn Giao Thực Tế và Bên CĐT nhận được đầy đủ, đúng hạn hồ sơ xin cấp Giấy Chứng Nhận từ </w:t>
            </w:r>
            <w:r w:rsidRPr="00453085">
              <w:rPr>
                <w:rFonts w:ascii="Times New Roman" w:hAnsi="Times New Roman" w:cs="Times New Roman"/>
                <w:sz w:val="26"/>
                <w:szCs w:val="26"/>
                <w:highlight w:val="yellow"/>
                <w:lang w:bidi="en-US"/>
              </w:rPr>
              <w:t>khách hàng</w:t>
            </w:r>
            <w:r w:rsidRPr="00453085">
              <w:rPr>
                <w:rFonts w:ascii="Times New Roman" w:hAnsi="Times New Roman" w:cs="Times New Roman"/>
                <w:sz w:val="26"/>
                <w:szCs w:val="26"/>
                <w:highlight w:val="yellow"/>
                <w:lang w:val="vi-VN" w:bidi="en-US"/>
              </w:rPr>
              <w:t xml:space="preserve"> theo văn bản thông báo của CĐT</w:t>
            </w:r>
            <w:r w:rsidRPr="00453085">
              <w:rPr>
                <w:rFonts w:ascii="Times New Roman" w:hAnsi="Times New Roman" w:cs="Times New Roman"/>
                <w:sz w:val="26"/>
                <w:szCs w:val="26"/>
                <w:highlight w:val="yellow"/>
                <w:lang w:bidi="en-US"/>
              </w:rPr>
              <w:t xml:space="preserve"> (tham khảo Điều 6.2 các Hơp đồng Mua bán)</w:t>
            </w:r>
            <w:r w:rsidRPr="00453085">
              <w:rPr>
                <w:rFonts w:ascii="Times New Roman" w:hAnsi="Times New Roman" w:cs="Times New Roman"/>
                <w:sz w:val="26"/>
                <w:szCs w:val="26"/>
                <w:highlight w:val="yellow"/>
                <w:lang w:val="vi-VN" w:bidi="en-US"/>
              </w:rPr>
              <w:t>.</w:t>
            </w:r>
          </w:p>
          <w:p w:rsidR="00453085" w:rsidRPr="00453085" w:rsidRDefault="00453085" w:rsidP="00453085">
            <w:pPr>
              <w:spacing w:after="240"/>
              <w:jc w:val="both"/>
              <w:rPr>
                <w:rFonts w:ascii="Times New Roman" w:hAnsi="Times New Roman" w:cs="Times New Roman"/>
                <w:i/>
                <w:sz w:val="26"/>
                <w:szCs w:val="26"/>
              </w:rPr>
            </w:pPr>
            <w:r w:rsidRPr="00453085">
              <w:rPr>
                <w:rFonts w:ascii="Times New Roman" w:hAnsi="Times New Roman" w:cs="Times New Roman"/>
                <w:sz w:val="26"/>
                <w:szCs w:val="26"/>
              </w:rPr>
              <w:t xml:space="preserve"> Nếu quá thời gian này thì CĐT sẽ hoàn trả lại tiền cho khách và  cộng với </w:t>
            </w:r>
            <w:r w:rsidRPr="00453085">
              <w:rPr>
                <w:rFonts w:ascii="Times New Roman" w:hAnsi="Times New Roman" w:cs="Times New Roman"/>
                <w:sz w:val="26"/>
                <w:szCs w:val="26"/>
                <w:lang w:val="vi-VN"/>
              </w:rPr>
              <w:t>tiền lãi tính trên số tiền gốc theo mức lãi suất trần lãi suất huy động gửi tiền tiết kiệm do Ngân hàng Nhà nước công bố tại thời điểm đó, tương ứng vớ</w:t>
            </w:r>
            <w:r w:rsidRPr="00453085">
              <w:rPr>
                <w:rFonts w:ascii="Times New Roman" w:hAnsi="Times New Roman" w:cs="Times New Roman"/>
                <w:sz w:val="26"/>
                <w:szCs w:val="26"/>
              </w:rPr>
              <w:t>i</w:t>
            </w:r>
            <w:r w:rsidRPr="00453085">
              <w:rPr>
                <w:rFonts w:ascii="Times New Roman" w:hAnsi="Times New Roman" w:cs="Times New Roman"/>
                <w:sz w:val="26"/>
                <w:szCs w:val="26"/>
                <w:lang w:val="vi-VN"/>
              </w:rPr>
              <w:t xml:space="preserve"> thời hạn tính lãi suất</w:t>
            </w:r>
            <w:r w:rsidRPr="00453085">
              <w:rPr>
                <w:rFonts w:ascii="Times New Roman" w:hAnsi="Times New Roman" w:cs="Times New Roman"/>
                <w:sz w:val="26"/>
                <w:szCs w:val="26"/>
              </w:rPr>
              <w:t xml:space="preserve"> (tham khảo Điều 12.5 và 12.7 các Hợp đồng Mua bán).</w:t>
            </w:r>
          </w:p>
        </w:tc>
      </w:tr>
      <w:tr w:rsidR="00453085" w:rsidRPr="00FE2D78" w:rsidTr="00AB62B9">
        <w:trPr>
          <w:trHeight w:val="1020"/>
        </w:trPr>
        <w:tc>
          <w:tcPr>
            <w:tcW w:w="720" w:type="dxa"/>
            <w:tcBorders>
              <w:top w:val="single" w:sz="4" w:space="0" w:color="auto"/>
              <w:left w:val="single" w:sz="4" w:space="0" w:color="000000"/>
              <w:bottom w:val="single" w:sz="4" w:space="0" w:color="auto"/>
              <w:right w:val="single" w:sz="4" w:space="0" w:color="auto"/>
            </w:tcBorders>
            <w:shd w:val="clear" w:color="auto" w:fill="auto"/>
          </w:tcPr>
          <w:p w:rsidR="00453085" w:rsidRPr="00453085" w:rsidRDefault="001C1CE1" w:rsidP="00453085">
            <w:pPr>
              <w:jc w:val="center"/>
              <w:rPr>
                <w:rFonts w:ascii="Times New Roman" w:hAnsi="Times New Roman" w:cs="Times New Roman"/>
                <w:sz w:val="26"/>
                <w:szCs w:val="26"/>
              </w:rPr>
            </w:pPr>
            <w:r>
              <w:rPr>
                <w:rFonts w:ascii="Times New Roman" w:hAnsi="Times New Roman" w:cs="Times New Roman"/>
                <w:sz w:val="26"/>
                <w:szCs w:val="26"/>
              </w:rPr>
              <w:t>40</w:t>
            </w: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sz w:val="26"/>
                <w:szCs w:val="26"/>
              </w:rPr>
              <w:t>Phí bảo trì của dự án là bao nhiêu ?</w:t>
            </w:r>
          </w:p>
        </w:tc>
        <w:tc>
          <w:tcPr>
            <w:tcW w:w="11056" w:type="dxa"/>
            <w:tcBorders>
              <w:top w:val="single" w:sz="4" w:space="0" w:color="auto"/>
              <w:left w:val="single" w:sz="4" w:space="0" w:color="auto"/>
              <w:bottom w:val="single" w:sz="4" w:space="0" w:color="auto"/>
              <w:right w:val="single" w:sz="4" w:space="0" w:color="000000"/>
            </w:tcBorders>
            <w:shd w:val="clear" w:color="auto" w:fill="auto"/>
          </w:tcPr>
          <w:p w:rsidR="00453085" w:rsidRPr="00453085" w:rsidRDefault="00453085" w:rsidP="00453085">
            <w:pPr>
              <w:spacing w:after="240"/>
              <w:jc w:val="both"/>
              <w:rPr>
                <w:rFonts w:ascii="Times New Roman" w:hAnsi="Times New Roman" w:cs="Times New Roman"/>
                <w:sz w:val="26"/>
                <w:szCs w:val="26"/>
              </w:rPr>
            </w:pPr>
            <w:r w:rsidRPr="00453085">
              <w:rPr>
                <w:rFonts w:ascii="Times New Roman" w:hAnsi="Times New Roman" w:cs="Times New Roman"/>
                <w:sz w:val="26"/>
                <w:szCs w:val="26"/>
              </w:rPr>
              <w:t>Trường hợp Chủ Biệt thự tự vận hành, khai thác thì Phí bảo trì nằm trong Phí dịch vụ 15.000đ/m2. Còn trường hợp Chủ BT cho CĐT thuê lại thì Phí bảo trì được hạch toán vào Chi phí Kinh doanh.</w:t>
            </w:r>
          </w:p>
        </w:tc>
      </w:tr>
      <w:tr w:rsidR="00453085" w:rsidRPr="00FE2D78" w:rsidTr="00D5605E">
        <w:trPr>
          <w:trHeight w:hRule="exact" w:val="1090"/>
        </w:trPr>
        <w:tc>
          <w:tcPr>
            <w:tcW w:w="720" w:type="dxa"/>
            <w:tcBorders>
              <w:top w:val="single" w:sz="4" w:space="0" w:color="auto"/>
              <w:left w:val="single" w:sz="4" w:space="0" w:color="000000"/>
              <w:bottom w:val="single" w:sz="4" w:space="0" w:color="000000"/>
              <w:right w:val="single" w:sz="4" w:space="0" w:color="auto"/>
            </w:tcBorders>
            <w:shd w:val="clear" w:color="auto" w:fill="auto"/>
          </w:tcPr>
          <w:p w:rsidR="00453085" w:rsidRPr="00453085" w:rsidRDefault="001C1CE1" w:rsidP="00453085">
            <w:pPr>
              <w:jc w:val="center"/>
              <w:rPr>
                <w:rFonts w:ascii="Times New Roman" w:hAnsi="Times New Roman" w:cs="Times New Roman"/>
                <w:sz w:val="26"/>
                <w:szCs w:val="26"/>
              </w:rPr>
            </w:pPr>
            <w:r>
              <w:rPr>
                <w:rFonts w:ascii="Times New Roman" w:hAnsi="Times New Roman" w:cs="Times New Roman"/>
                <w:sz w:val="26"/>
                <w:szCs w:val="26"/>
              </w:rPr>
              <w:t>41</w:t>
            </w:r>
          </w:p>
        </w:tc>
        <w:tc>
          <w:tcPr>
            <w:tcW w:w="3641" w:type="dxa"/>
            <w:tcBorders>
              <w:top w:val="single" w:sz="4" w:space="0" w:color="auto"/>
              <w:left w:val="single" w:sz="4" w:space="0" w:color="auto"/>
              <w:bottom w:val="single" w:sz="4" w:space="0" w:color="000000"/>
              <w:right w:val="single" w:sz="4" w:space="0" w:color="auto"/>
            </w:tcBorders>
            <w:shd w:val="clear" w:color="auto" w:fill="auto"/>
          </w:tcPr>
          <w:p w:rsidR="00453085" w:rsidRPr="00453085" w:rsidRDefault="00453085" w:rsidP="00453085">
            <w:pPr>
              <w:rPr>
                <w:rFonts w:ascii="Times New Roman" w:hAnsi="Times New Roman" w:cs="Times New Roman"/>
                <w:sz w:val="26"/>
                <w:szCs w:val="26"/>
              </w:rPr>
            </w:pPr>
            <w:r w:rsidRPr="00453085">
              <w:rPr>
                <w:rFonts w:ascii="Times New Roman" w:hAnsi="Times New Roman" w:cs="Times New Roman"/>
                <w:sz w:val="26"/>
                <w:szCs w:val="26"/>
              </w:rPr>
              <w:t>Mỗi phòng được ở tối đa bao nhiêu người ?</w:t>
            </w:r>
          </w:p>
        </w:tc>
        <w:tc>
          <w:tcPr>
            <w:tcW w:w="11056" w:type="dxa"/>
            <w:tcBorders>
              <w:top w:val="single" w:sz="4" w:space="0" w:color="auto"/>
              <w:left w:val="single" w:sz="4" w:space="0" w:color="auto"/>
              <w:bottom w:val="single" w:sz="4" w:space="0" w:color="000000"/>
              <w:right w:val="single" w:sz="4" w:space="0" w:color="000000"/>
            </w:tcBorders>
            <w:shd w:val="clear" w:color="auto" w:fill="auto"/>
          </w:tcPr>
          <w:p w:rsidR="00453085" w:rsidRPr="00453085" w:rsidRDefault="00453085" w:rsidP="00453085">
            <w:pPr>
              <w:spacing w:after="240"/>
              <w:jc w:val="both"/>
              <w:rPr>
                <w:rFonts w:ascii="Times New Roman" w:hAnsi="Times New Roman" w:cs="Times New Roman"/>
                <w:sz w:val="26"/>
                <w:szCs w:val="26"/>
              </w:rPr>
            </w:pPr>
            <w:r w:rsidRPr="00453085">
              <w:rPr>
                <w:rFonts w:ascii="Times New Roman" w:hAnsi="Times New Roman" w:cs="Times New Roman"/>
                <w:sz w:val="26"/>
                <w:szCs w:val="26"/>
              </w:rPr>
              <w:t>1 phòng (deluxe, suite) được ở tối đa 2 người lớn, 2 trẻ em. 1 phòng family thì được ở tối đa 4 người lớn. Tuy nhiên, có thể linh hoạt nếu số người lớn hơn quy định và thu thêm phụ phí: Người lớn phụ thu 500.000 đ/ đêm, trẻ em 400.000 đ/ đêm, nếu trẻ em ngủ cùng bố mẹ thì 300.000 đ/ đêm nghỉ</w:t>
            </w:r>
          </w:p>
          <w:p w:rsidR="00453085" w:rsidRPr="00453085" w:rsidRDefault="00453085" w:rsidP="00453085">
            <w:pPr>
              <w:spacing w:after="240"/>
              <w:jc w:val="both"/>
              <w:rPr>
                <w:rFonts w:ascii="Times New Roman" w:hAnsi="Times New Roman" w:cs="Times New Roman"/>
                <w:sz w:val="26"/>
                <w:szCs w:val="26"/>
              </w:rPr>
            </w:pPr>
          </w:p>
        </w:tc>
      </w:tr>
    </w:tbl>
    <w:p w:rsidR="00EA0E30" w:rsidRPr="00FE2D78" w:rsidRDefault="00EA0E30" w:rsidP="006F4E05">
      <w:pPr>
        <w:spacing w:line="240" w:lineRule="auto"/>
        <w:rPr>
          <w:rFonts w:ascii="Times New Roman" w:hAnsi="Times New Roman" w:cs="Times New Roman"/>
          <w:sz w:val="26"/>
          <w:szCs w:val="26"/>
        </w:rPr>
      </w:pPr>
    </w:p>
    <w:sectPr w:rsidR="00EA0E30" w:rsidRPr="00FE2D78" w:rsidSect="0023617F">
      <w:pgSz w:w="16834" w:h="11909" w:orient="landscape" w:code="9"/>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746"/>
    <w:multiLevelType w:val="hybridMultilevel"/>
    <w:tmpl w:val="CE066B5A"/>
    <w:lvl w:ilvl="0" w:tplc="546657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036B6"/>
    <w:multiLevelType w:val="hybridMultilevel"/>
    <w:tmpl w:val="525E6E14"/>
    <w:lvl w:ilvl="0" w:tplc="9A16E48C">
      <w:start w:val="1"/>
      <w:numFmt w:val="bullet"/>
      <w:lvlText w:val=""/>
      <w:lvlJc w:val="left"/>
      <w:pPr>
        <w:ind w:left="720" w:hanging="360"/>
      </w:pPr>
      <w:rPr>
        <w:rFonts w:ascii="Symbol" w:eastAsia="Courier New"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E2E5BCC"/>
    <w:multiLevelType w:val="hybridMultilevel"/>
    <w:tmpl w:val="5BBE226C"/>
    <w:lvl w:ilvl="0" w:tplc="CEBEFC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C3"/>
    <w:rsid w:val="00007CF4"/>
    <w:rsid w:val="00037944"/>
    <w:rsid w:val="0004475B"/>
    <w:rsid w:val="000535AA"/>
    <w:rsid w:val="00054CB9"/>
    <w:rsid w:val="00065A40"/>
    <w:rsid w:val="00067E97"/>
    <w:rsid w:val="000964B0"/>
    <w:rsid w:val="000A2C90"/>
    <w:rsid w:val="000D305C"/>
    <w:rsid w:val="000E1D5F"/>
    <w:rsid w:val="000E27C5"/>
    <w:rsid w:val="000E77EA"/>
    <w:rsid w:val="000F5A68"/>
    <w:rsid w:val="00100C02"/>
    <w:rsid w:val="001126BA"/>
    <w:rsid w:val="00140022"/>
    <w:rsid w:val="001454B2"/>
    <w:rsid w:val="00156925"/>
    <w:rsid w:val="001674CE"/>
    <w:rsid w:val="0019144D"/>
    <w:rsid w:val="001A2B9E"/>
    <w:rsid w:val="001A5602"/>
    <w:rsid w:val="001B77C3"/>
    <w:rsid w:val="001C1039"/>
    <w:rsid w:val="001C1CE1"/>
    <w:rsid w:val="001D5062"/>
    <w:rsid w:val="001D7604"/>
    <w:rsid w:val="001E5BED"/>
    <w:rsid w:val="0023617F"/>
    <w:rsid w:val="00266F7B"/>
    <w:rsid w:val="0028312F"/>
    <w:rsid w:val="002A154D"/>
    <w:rsid w:val="002A3468"/>
    <w:rsid w:val="002A587D"/>
    <w:rsid w:val="002B6F88"/>
    <w:rsid w:val="00334C80"/>
    <w:rsid w:val="00334E7D"/>
    <w:rsid w:val="00340DB6"/>
    <w:rsid w:val="00362EC5"/>
    <w:rsid w:val="00366E99"/>
    <w:rsid w:val="00392838"/>
    <w:rsid w:val="00393A35"/>
    <w:rsid w:val="003C11A9"/>
    <w:rsid w:val="003C2EF2"/>
    <w:rsid w:val="003D641A"/>
    <w:rsid w:val="003D78C3"/>
    <w:rsid w:val="003E122F"/>
    <w:rsid w:val="004244BF"/>
    <w:rsid w:val="0043569A"/>
    <w:rsid w:val="00446535"/>
    <w:rsid w:val="00453085"/>
    <w:rsid w:val="00456E94"/>
    <w:rsid w:val="00464E9C"/>
    <w:rsid w:val="00465D1D"/>
    <w:rsid w:val="004709FD"/>
    <w:rsid w:val="00477863"/>
    <w:rsid w:val="00490FAB"/>
    <w:rsid w:val="004B4175"/>
    <w:rsid w:val="004C3DDD"/>
    <w:rsid w:val="004C5313"/>
    <w:rsid w:val="004D1FD4"/>
    <w:rsid w:val="004F1A99"/>
    <w:rsid w:val="004F6AFB"/>
    <w:rsid w:val="005043A5"/>
    <w:rsid w:val="0051048B"/>
    <w:rsid w:val="00511367"/>
    <w:rsid w:val="005331E3"/>
    <w:rsid w:val="00554E1D"/>
    <w:rsid w:val="00591805"/>
    <w:rsid w:val="005B3D89"/>
    <w:rsid w:val="005B6339"/>
    <w:rsid w:val="005D2E17"/>
    <w:rsid w:val="005E017B"/>
    <w:rsid w:val="005E2D27"/>
    <w:rsid w:val="00606081"/>
    <w:rsid w:val="0061215B"/>
    <w:rsid w:val="006405B9"/>
    <w:rsid w:val="00660C42"/>
    <w:rsid w:val="006679A5"/>
    <w:rsid w:val="00677E59"/>
    <w:rsid w:val="00683AF5"/>
    <w:rsid w:val="0069219A"/>
    <w:rsid w:val="006C6FB6"/>
    <w:rsid w:val="006D27D9"/>
    <w:rsid w:val="006F4E05"/>
    <w:rsid w:val="00705660"/>
    <w:rsid w:val="00716758"/>
    <w:rsid w:val="00725757"/>
    <w:rsid w:val="007365D5"/>
    <w:rsid w:val="00742A65"/>
    <w:rsid w:val="00765BB9"/>
    <w:rsid w:val="00770C2E"/>
    <w:rsid w:val="0078419D"/>
    <w:rsid w:val="007A2659"/>
    <w:rsid w:val="007C0963"/>
    <w:rsid w:val="007D63F5"/>
    <w:rsid w:val="007F055C"/>
    <w:rsid w:val="007F33C0"/>
    <w:rsid w:val="008000D2"/>
    <w:rsid w:val="0081568C"/>
    <w:rsid w:val="00820FBF"/>
    <w:rsid w:val="0082352B"/>
    <w:rsid w:val="00835CAC"/>
    <w:rsid w:val="00837EA9"/>
    <w:rsid w:val="00840B9F"/>
    <w:rsid w:val="00842A04"/>
    <w:rsid w:val="00864529"/>
    <w:rsid w:val="008726E6"/>
    <w:rsid w:val="008A0FD6"/>
    <w:rsid w:val="008B7F34"/>
    <w:rsid w:val="008D173C"/>
    <w:rsid w:val="008E79CA"/>
    <w:rsid w:val="008F35D1"/>
    <w:rsid w:val="0090125B"/>
    <w:rsid w:val="009047E7"/>
    <w:rsid w:val="00910766"/>
    <w:rsid w:val="009215BA"/>
    <w:rsid w:val="00932931"/>
    <w:rsid w:val="009B705F"/>
    <w:rsid w:val="009C29AE"/>
    <w:rsid w:val="009D1762"/>
    <w:rsid w:val="009E13E0"/>
    <w:rsid w:val="009F3F43"/>
    <w:rsid w:val="00A069AB"/>
    <w:rsid w:val="00A112C2"/>
    <w:rsid w:val="00A12DC8"/>
    <w:rsid w:val="00A20E66"/>
    <w:rsid w:val="00A210B0"/>
    <w:rsid w:val="00A21265"/>
    <w:rsid w:val="00A35A15"/>
    <w:rsid w:val="00A454F9"/>
    <w:rsid w:val="00A948BF"/>
    <w:rsid w:val="00AA45C3"/>
    <w:rsid w:val="00AD4607"/>
    <w:rsid w:val="00AF5F4B"/>
    <w:rsid w:val="00B0418B"/>
    <w:rsid w:val="00B04509"/>
    <w:rsid w:val="00B1203D"/>
    <w:rsid w:val="00B1520C"/>
    <w:rsid w:val="00B311F8"/>
    <w:rsid w:val="00B3145D"/>
    <w:rsid w:val="00B33DD3"/>
    <w:rsid w:val="00B35A63"/>
    <w:rsid w:val="00B80BA6"/>
    <w:rsid w:val="00B82697"/>
    <w:rsid w:val="00BD2E88"/>
    <w:rsid w:val="00BD6C4F"/>
    <w:rsid w:val="00C50135"/>
    <w:rsid w:val="00C633CC"/>
    <w:rsid w:val="00C72D16"/>
    <w:rsid w:val="00C805C2"/>
    <w:rsid w:val="00C9795C"/>
    <w:rsid w:val="00C97A4E"/>
    <w:rsid w:val="00CA0D58"/>
    <w:rsid w:val="00CB42BF"/>
    <w:rsid w:val="00CB7BE8"/>
    <w:rsid w:val="00CC4DB2"/>
    <w:rsid w:val="00CF465B"/>
    <w:rsid w:val="00D31104"/>
    <w:rsid w:val="00D3253C"/>
    <w:rsid w:val="00D4230F"/>
    <w:rsid w:val="00D43FAE"/>
    <w:rsid w:val="00D51754"/>
    <w:rsid w:val="00D53726"/>
    <w:rsid w:val="00D5605E"/>
    <w:rsid w:val="00D74B3D"/>
    <w:rsid w:val="00D82E05"/>
    <w:rsid w:val="00D903BE"/>
    <w:rsid w:val="00D913F6"/>
    <w:rsid w:val="00D92C48"/>
    <w:rsid w:val="00DA2C4F"/>
    <w:rsid w:val="00DC6741"/>
    <w:rsid w:val="00DF06C8"/>
    <w:rsid w:val="00DF447B"/>
    <w:rsid w:val="00E16BFD"/>
    <w:rsid w:val="00E5393C"/>
    <w:rsid w:val="00E5625C"/>
    <w:rsid w:val="00E73D60"/>
    <w:rsid w:val="00E74AC4"/>
    <w:rsid w:val="00E779DF"/>
    <w:rsid w:val="00E945A0"/>
    <w:rsid w:val="00EA0E30"/>
    <w:rsid w:val="00EA7450"/>
    <w:rsid w:val="00F20C66"/>
    <w:rsid w:val="00F42193"/>
    <w:rsid w:val="00FA3A53"/>
    <w:rsid w:val="00FC4057"/>
    <w:rsid w:val="00FE132B"/>
    <w:rsid w:val="00FE2D78"/>
    <w:rsid w:val="00FE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9191F-C01C-43B9-865D-60E76347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C3"/>
    <w:pPr>
      <w:ind w:left="720"/>
      <w:contextualSpacing/>
    </w:pPr>
  </w:style>
  <w:style w:type="paragraph" w:styleId="BalloonText">
    <w:name w:val="Balloon Text"/>
    <w:basedOn w:val="Normal"/>
    <w:link w:val="BalloonTextChar"/>
    <w:uiPriority w:val="99"/>
    <w:semiHidden/>
    <w:unhideWhenUsed/>
    <w:rsid w:val="006F4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32591">
      <w:bodyDiv w:val="1"/>
      <w:marLeft w:val="0"/>
      <w:marRight w:val="0"/>
      <w:marTop w:val="0"/>
      <w:marBottom w:val="0"/>
      <w:divBdr>
        <w:top w:val="none" w:sz="0" w:space="0" w:color="auto"/>
        <w:left w:val="none" w:sz="0" w:space="0" w:color="auto"/>
        <w:bottom w:val="none" w:sz="0" w:space="0" w:color="auto"/>
        <w:right w:val="none" w:sz="0" w:space="0" w:color="auto"/>
      </w:divBdr>
    </w:div>
    <w:div w:id="995492821">
      <w:bodyDiv w:val="1"/>
      <w:marLeft w:val="0"/>
      <w:marRight w:val="0"/>
      <w:marTop w:val="0"/>
      <w:marBottom w:val="0"/>
      <w:divBdr>
        <w:top w:val="none" w:sz="0" w:space="0" w:color="auto"/>
        <w:left w:val="none" w:sz="0" w:space="0" w:color="auto"/>
        <w:bottom w:val="none" w:sz="0" w:space="0" w:color="auto"/>
        <w:right w:val="none" w:sz="0" w:space="0" w:color="auto"/>
      </w:divBdr>
    </w:div>
    <w:div w:id="14486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file:///D:\CEN%20GROUP\V&#431;&#7900;N%20VUA%20PH&#218;%20TH&#7884;\A-T&#192;I%20LI&#7878;U%20CU&#7888;I%20C&#217;NG%20CHU&#7848;N\H&#7890;%20S&#416;%20PH&#193;P%20L&#221;\GCN%20quy&#7873;n%20s&#7917;%20d&#7909;ng%20&#273;&#7845;t%202017%20VV.pdf"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file:///D:\CEN%20GROUP\V&#431;&#7900;N%20VUA%20PH&#218;%20TH&#7884;\A-T&#192;I%20LI&#7878;U%20CU&#7888;I%20C&#217;NG%20CHU&#7848;N\H&#7890;%20S&#416;%20PH&#193;P%20L&#221;\PHI&#7870;U%20NOP%20THUE%20DAT%20D1%20(1).pdf"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file:///D:\CEN%20GROUP\V&#431;&#7900;N%20VUA%20PH&#218;%20TH&#7884;\A-T&#192;I%20LI&#7878;U%20CU&#7888;I%20C&#217;NG%20CHU&#7848;N\H&#7890;%20S&#416;%20PH&#193;P%20L&#221;\GCN%20quy&#7873;n%20s&#7917;%20d&#7909;ng%20&#273;&#7845;t%202017%20V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 Tien Trung | Tline</cp:lastModifiedBy>
  <cp:revision>153</cp:revision>
  <cp:lastPrinted>2020-06-24T03:11:00Z</cp:lastPrinted>
  <dcterms:created xsi:type="dcterms:W3CDTF">2020-06-24T03:09:00Z</dcterms:created>
  <dcterms:modified xsi:type="dcterms:W3CDTF">2020-08-24T10:18:00Z</dcterms:modified>
</cp:coreProperties>
</file>